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3B3" w:rsidRDefault="009223B3" w:rsidP="00C964E9">
      <w:pPr>
        <w:pStyle w:val="1"/>
        <w:spacing w:before="0" w:after="0"/>
        <w:jc w:val="center"/>
        <w:rPr>
          <w:rFonts w:ascii="Times New Roman" w:hAnsi="Times New Roman"/>
          <w:szCs w:val="28"/>
        </w:rPr>
      </w:pPr>
      <w:bookmarkStart w:id="0" w:name="_Toc420918343"/>
      <w:r>
        <w:rPr>
          <w:rFonts w:ascii="Times New Roman" w:hAnsi="Times New Roman"/>
          <w:szCs w:val="28"/>
        </w:rPr>
        <w:t>И</w:t>
      </w:r>
      <w:r w:rsidR="00C964E9" w:rsidRPr="00157175">
        <w:rPr>
          <w:rFonts w:ascii="Times New Roman" w:hAnsi="Times New Roman"/>
          <w:szCs w:val="28"/>
        </w:rPr>
        <w:t>нвестиционн</w:t>
      </w:r>
      <w:r>
        <w:rPr>
          <w:rFonts w:ascii="Times New Roman" w:hAnsi="Times New Roman"/>
          <w:szCs w:val="28"/>
        </w:rPr>
        <w:t>ая</w:t>
      </w:r>
      <w:r w:rsidR="00C964E9" w:rsidRPr="00157175">
        <w:rPr>
          <w:rFonts w:ascii="Times New Roman" w:hAnsi="Times New Roman"/>
          <w:szCs w:val="28"/>
        </w:rPr>
        <w:t xml:space="preserve"> активност</w:t>
      </w:r>
      <w:r>
        <w:rPr>
          <w:rFonts w:ascii="Times New Roman" w:hAnsi="Times New Roman"/>
          <w:szCs w:val="28"/>
        </w:rPr>
        <w:t xml:space="preserve">ь в Топчихинском районе </w:t>
      </w:r>
      <w:bookmarkEnd w:id="0"/>
    </w:p>
    <w:p w:rsidR="00C964E9" w:rsidRPr="00157175" w:rsidRDefault="009223B3" w:rsidP="00C964E9">
      <w:pPr>
        <w:pStyle w:val="1"/>
        <w:spacing w:before="0" w:after="0"/>
        <w:jc w:val="center"/>
        <w:rPr>
          <w:rFonts w:ascii="Times New Roman" w:hAnsi="Times New Roman"/>
          <w:szCs w:val="28"/>
        </w:rPr>
      </w:pPr>
      <w:r>
        <w:rPr>
          <w:rFonts w:ascii="Times New Roman" w:hAnsi="Times New Roman"/>
          <w:szCs w:val="28"/>
        </w:rPr>
        <w:t xml:space="preserve">за </w:t>
      </w:r>
      <w:r w:rsidR="00032404">
        <w:rPr>
          <w:rFonts w:ascii="Times New Roman" w:hAnsi="Times New Roman"/>
          <w:szCs w:val="28"/>
        </w:rPr>
        <w:t>январь-</w:t>
      </w:r>
      <w:r w:rsidR="00155DB2">
        <w:rPr>
          <w:rFonts w:ascii="Times New Roman" w:hAnsi="Times New Roman"/>
          <w:szCs w:val="28"/>
        </w:rPr>
        <w:t>декабрь</w:t>
      </w:r>
      <w:r w:rsidR="00032404">
        <w:rPr>
          <w:rFonts w:ascii="Times New Roman" w:hAnsi="Times New Roman"/>
          <w:szCs w:val="28"/>
        </w:rPr>
        <w:t xml:space="preserve"> </w:t>
      </w:r>
      <w:r>
        <w:rPr>
          <w:rFonts w:ascii="Times New Roman" w:hAnsi="Times New Roman"/>
          <w:szCs w:val="28"/>
        </w:rPr>
        <w:t>20</w:t>
      </w:r>
      <w:r w:rsidR="00993FF6">
        <w:rPr>
          <w:rFonts w:ascii="Times New Roman" w:hAnsi="Times New Roman"/>
          <w:szCs w:val="28"/>
        </w:rPr>
        <w:t>2</w:t>
      </w:r>
      <w:r w:rsidR="00C348ED">
        <w:rPr>
          <w:rFonts w:ascii="Times New Roman" w:hAnsi="Times New Roman"/>
          <w:szCs w:val="28"/>
        </w:rPr>
        <w:t>3</w:t>
      </w:r>
      <w:r>
        <w:rPr>
          <w:rFonts w:ascii="Times New Roman" w:hAnsi="Times New Roman"/>
          <w:szCs w:val="28"/>
        </w:rPr>
        <w:t xml:space="preserve"> год</w:t>
      </w:r>
      <w:r w:rsidR="00032404">
        <w:rPr>
          <w:rFonts w:ascii="Times New Roman" w:hAnsi="Times New Roman"/>
          <w:szCs w:val="28"/>
        </w:rPr>
        <w:t>а</w:t>
      </w:r>
    </w:p>
    <w:p w:rsidR="00C964E9" w:rsidRPr="00157175" w:rsidRDefault="00C964E9" w:rsidP="00C964E9">
      <w:pPr>
        <w:spacing w:after="0" w:line="240" w:lineRule="auto"/>
        <w:ind w:firstLine="567"/>
        <w:jc w:val="both"/>
        <w:rPr>
          <w:rFonts w:ascii="Times New Roman" w:hAnsi="Times New Roman" w:cs="Times New Roman"/>
          <w:b/>
          <w:sz w:val="28"/>
          <w:szCs w:val="28"/>
        </w:rPr>
      </w:pPr>
    </w:p>
    <w:p w:rsidR="0086083C" w:rsidRDefault="0086083C" w:rsidP="003567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о</w:t>
      </w:r>
      <w:r w:rsidR="00356788" w:rsidRPr="00157175">
        <w:rPr>
          <w:rFonts w:ascii="Times New Roman" w:hAnsi="Times New Roman" w:cs="Times New Roman"/>
          <w:sz w:val="28"/>
          <w:szCs w:val="28"/>
        </w:rPr>
        <w:t>бъем инвестиций</w:t>
      </w:r>
      <w:r w:rsidR="0076393E" w:rsidRPr="0076393E">
        <w:rPr>
          <w:rFonts w:ascii="Times New Roman" w:hAnsi="Times New Roman" w:cs="Times New Roman"/>
          <w:sz w:val="28"/>
          <w:szCs w:val="28"/>
        </w:rPr>
        <w:t xml:space="preserve"> </w:t>
      </w:r>
      <w:r w:rsidR="0076393E" w:rsidRPr="00157175">
        <w:rPr>
          <w:rFonts w:ascii="Times New Roman" w:hAnsi="Times New Roman" w:cs="Times New Roman"/>
          <w:sz w:val="28"/>
          <w:szCs w:val="28"/>
        </w:rPr>
        <w:t>в экономику района</w:t>
      </w:r>
      <w:r w:rsidR="00356788" w:rsidRPr="00157175">
        <w:rPr>
          <w:rFonts w:ascii="Times New Roman" w:hAnsi="Times New Roman" w:cs="Times New Roman"/>
          <w:sz w:val="28"/>
          <w:szCs w:val="28"/>
        </w:rPr>
        <w:t xml:space="preserve"> </w:t>
      </w:r>
      <w:r w:rsidR="0076393E">
        <w:rPr>
          <w:rFonts w:ascii="Times New Roman" w:hAnsi="Times New Roman" w:cs="Times New Roman"/>
          <w:sz w:val="28"/>
          <w:szCs w:val="28"/>
        </w:rPr>
        <w:t xml:space="preserve">за счет всех источников финансирования по крупным и средним организациям </w:t>
      </w:r>
      <w:r w:rsidR="00AD4B16">
        <w:rPr>
          <w:rFonts w:ascii="Times New Roman" w:hAnsi="Times New Roman" w:cs="Times New Roman"/>
          <w:sz w:val="28"/>
          <w:szCs w:val="28"/>
        </w:rPr>
        <w:t>за январь-</w:t>
      </w:r>
      <w:r w:rsidR="00155DB2">
        <w:rPr>
          <w:rFonts w:ascii="Times New Roman" w:hAnsi="Times New Roman" w:cs="Times New Roman"/>
          <w:sz w:val="28"/>
          <w:szCs w:val="28"/>
        </w:rPr>
        <w:t>декабрь</w:t>
      </w:r>
      <w:r w:rsidR="002676A6">
        <w:rPr>
          <w:rFonts w:ascii="Times New Roman" w:hAnsi="Times New Roman" w:cs="Times New Roman"/>
          <w:sz w:val="28"/>
          <w:szCs w:val="28"/>
        </w:rPr>
        <w:t xml:space="preserve"> 20</w:t>
      </w:r>
      <w:r w:rsidR="00993FF6">
        <w:rPr>
          <w:rFonts w:ascii="Times New Roman" w:hAnsi="Times New Roman" w:cs="Times New Roman"/>
          <w:sz w:val="28"/>
          <w:szCs w:val="28"/>
        </w:rPr>
        <w:t>2</w:t>
      </w:r>
      <w:r w:rsidR="0076393E">
        <w:rPr>
          <w:rFonts w:ascii="Times New Roman" w:hAnsi="Times New Roman" w:cs="Times New Roman"/>
          <w:sz w:val="28"/>
          <w:szCs w:val="28"/>
        </w:rPr>
        <w:t>3</w:t>
      </w:r>
      <w:r w:rsidR="00356788" w:rsidRPr="00157175">
        <w:rPr>
          <w:rFonts w:ascii="Times New Roman" w:hAnsi="Times New Roman" w:cs="Times New Roman"/>
          <w:sz w:val="28"/>
          <w:szCs w:val="28"/>
        </w:rPr>
        <w:t xml:space="preserve"> г</w:t>
      </w:r>
      <w:r>
        <w:rPr>
          <w:rFonts w:ascii="Times New Roman" w:hAnsi="Times New Roman" w:cs="Times New Roman"/>
          <w:sz w:val="28"/>
          <w:szCs w:val="28"/>
        </w:rPr>
        <w:t>ода</w:t>
      </w:r>
      <w:r w:rsidR="00356788" w:rsidRPr="00157175">
        <w:rPr>
          <w:rFonts w:ascii="Times New Roman" w:hAnsi="Times New Roman" w:cs="Times New Roman"/>
          <w:sz w:val="28"/>
          <w:szCs w:val="28"/>
        </w:rPr>
        <w:t xml:space="preserve"> </w:t>
      </w:r>
      <w:r>
        <w:rPr>
          <w:rFonts w:ascii="Times New Roman" w:hAnsi="Times New Roman" w:cs="Times New Roman"/>
          <w:sz w:val="28"/>
          <w:szCs w:val="28"/>
        </w:rPr>
        <w:t xml:space="preserve">составил </w:t>
      </w:r>
      <w:r w:rsidR="00EE0F74">
        <w:rPr>
          <w:rFonts w:ascii="Times New Roman" w:hAnsi="Times New Roman" w:cs="Times New Roman"/>
          <w:sz w:val="28"/>
          <w:szCs w:val="28"/>
        </w:rPr>
        <w:t>10</w:t>
      </w:r>
      <w:r w:rsidR="0076393E">
        <w:rPr>
          <w:rFonts w:ascii="Times New Roman" w:hAnsi="Times New Roman" w:cs="Times New Roman"/>
          <w:sz w:val="28"/>
          <w:szCs w:val="28"/>
        </w:rPr>
        <w:t>02</w:t>
      </w:r>
      <w:r w:rsidR="00FA53CA">
        <w:rPr>
          <w:rFonts w:ascii="Times New Roman" w:hAnsi="Times New Roman" w:cs="Times New Roman"/>
          <w:sz w:val="28"/>
          <w:szCs w:val="28"/>
        </w:rPr>
        <w:t>,</w:t>
      </w:r>
      <w:r w:rsidR="0076393E">
        <w:rPr>
          <w:rFonts w:ascii="Times New Roman" w:hAnsi="Times New Roman" w:cs="Times New Roman"/>
          <w:sz w:val="28"/>
          <w:szCs w:val="28"/>
        </w:rPr>
        <w:t>7</w:t>
      </w:r>
      <w:r w:rsidR="00356788" w:rsidRPr="00157175">
        <w:rPr>
          <w:rFonts w:ascii="Times New Roman" w:hAnsi="Times New Roman" w:cs="Times New Roman"/>
          <w:sz w:val="28"/>
          <w:szCs w:val="28"/>
        </w:rPr>
        <w:t xml:space="preserve"> млн. рублей</w:t>
      </w:r>
      <w:r w:rsidR="00007D65">
        <w:rPr>
          <w:rFonts w:ascii="Times New Roman" w:hAnsi="Times New Roman" w:cs="Times New Roman"/>
          <w:sz w:val="28"/>
          <w:szCs w:val="28"/>
        </w:rPr>
        <w:t xml:space="preserve">, </w:t>
      </w:r>
      <w:r w:rsidR="00A3618D">
        <w:rPr>
          <w:rFonts w:ascii="Times New Roman" w:hAnsi="Times New Roman" w:cs="Times New Roman"/>
          <w:sz w:val="28"/>
          <w:szCs w:val="28"/>
        </w:rPr>
        <w:t xml:space="preserve">что на </w:t>
      </w:r>
      <w:r w:rsidR="0076393E">
        <w:rPr>
          <w:rFonts w:ascii="Times New Roman" w:hAnsi="Times New Roman" w:cs="Times New Roman"/>
          <w:sz w:val="28"/>
          <w:szCs w:val="28"/>
        </w:rPr>
        <w:t>3</w:t>
      </w:r>
      <w:r w:rsidR="00EE0F74">
        <w:rPr>
          <w:rFonts w:ascii="Times New Roman" w:hAnsi="Times New Roman" w:cs="Times New Roman"/>
          <w:sz w:val="28"/>
          <w:szCs w:val="28"/>
        </w:rPr>
        <w:t>3</w:t>
      </w:r>
      <w:r w:rsidR="00007D65">
        <w:rPr>
          <w:rFonts w:ascii="Times New Roman" w:hAnsi="Times New Roman" w:cs="Times New Roman"/>
          <w:sz w:val="28"/>
          <w:szCs w:val="28"/>
        </w:rPr>
        <w:t xml:space="preserve">% </w:t>
      </w:r>
      <w:r w:rsidR="00A3618D">
        <w:rPr>
          <w:rFonts w:ascii="Times New Roman" w:hAnsi="Times New Roman" w:cs="Times New Roman"/>
          <w:sz w:val="28"/>
          <w:szCs w:val="28"/>
        </w:rPr>
        <w:t xml:space="preserve">выше уровня </w:t>
      </w:r>
      <w:r w:rsidR="00007D65">
        <w:rPr>
          <w:rFonts w:ascii="Times New Roman" w:hAnsi="Times New Roman" w:cs="Times New Roman"/>
          <w:sz w:val="28"/>
          <w:szCs w:val="28"/>
        </w:rPr>
        <w:t>предыдуще</w:t>
      </w:r>
      <w:r w:rsidR="00A3618D">
        <w:rPr>
          <w:rFonts w:ascii="Times New Roman" w:hAnsi="Times New Roman" w:cs="Times New Roman"/>
          <w:sz w:val="28"/>
          <w:szCs w:val="28"/>
        </w:rPr>
        <w:t>го</w:t>
      </w:r>
      <w:r w:rsidR="00007D65">
        <w:rPr>
          <w:rFonts w:ascii="Times New Roman" w:hAnsi="Times New Roman" w:cs="Times New Roman"/>
          <w:sz w:val="28"/>
          <w:szCs w:val="28"/>
        </w:rPr>
        <w:t xml:space="preserve"> год</w:t>
      </w:r>
      <w:r w:rsidR="00A3618D">
        <w:rPr>
          <w:rFonts w:ascii="Times New Roman" w:hAnsi="Times New Roman" w:cs="Times New Roman"/>
          <w:sz w:val="28"/>
          <w:szCs w:val="28"/>
        </w:rPr>
        <w:t>а</w:t>
      </w:r>
      <w:r w:rsidR="00937E82">
        <w:rPr>
          <w:rFonts w:ascii="Times New Roman" w:hAnsi="Times New Roman" w:cs="Times New Roman"/>
          <w:sz w:val="28"/>
          <w:szCs w:val="28"/>
        </w:rPr>
        <w:t xml:space="preserve"> </w:t>
      </w:r>
      <w:r w:rsidR="00EE0F74">
        <w:rPr>
          <w:rFonts w:ascii="Times New Roman" w:hAnsi="Times New Roman" w:cs="Times New Roman"/>
          <w:sz w:val="28"/>
          <w:szCs w:val="28"/>
        </w:rPr>
        <w:t xml:space="preserve">(в сопоставимых ценах </w:t>
      </w:r>
      <w:r w:rsidR="00937E82">
        <w:rPr>
          <w:rFonts w:ascii="Times New Roman" w:hAnsi="Times New Roman" w:cs="Times New Roman"/>
          <w:sz w:val="28"/>
          <w:szCs w:val="28"/>
        </w:rPr>
        <w:t>-</w:t>
      </w:r>
      <w:r w:rsidR="00EE0F74">
        <w:rPr>
          <w:rFonts w:ascii="Times New Roman" w:hAnsi="Times New Roman" w:cs="Times New Roman"/>
          <w:sz w:val="28"/>
          <w:szCs w:val="28"/>
        </w:rPr>
        <w:t xml:space="preserve"> 1</w:t>
      </w:r>
      <w:r w:rsidR="00937E82">
        <w:rPr>
          <w:rFonts w:ascii="Times New Roman" w:hAnsi="Times New Roman" w:cs="Times New Roman"/>
          <w:sz w:val="28"/>
          <w:szCs w:val="28"/>
        </w:rPr>
        <w:t>18,3</w:t>
      </w:r>
      <w:r w:rsidR="00EE0F74">
        <w:rPr>
          <w:rFonts w:ascii="Times New Roman" w:hAnsi="Times New Roman" w:cs="Times New Roman"/>
          <w:sz w:val="28"/>
          <w:szCs w:val="28"/>
        </w:rPr>
        <w:t xml:space="preserve"> </w:t>
      </w:r>
      <w:r w:rsidR="00007D65">
        <w:rPr>
          <w:rFonts w:ascii="Times New Roman" w:hAnsi="Times New Roman" w:cs="Times New Roman"/>
          <w:sz w:val="28"/>
          <w:szCs w:val="28"/>
        </w:rPr>
        <w:t>%)</w:t>
      </w:r>
      <w:r w:rsidR="00F25E46">
        <w:rPr>
          <w:rFonts w:ascii="Times New Roman" w:hAnsi="Times New Roman" w:cs="Times New Roman"/>
          <w:sz w:val="28"/>
          <w:szCs w:val="28"/>
        </w:rPr>
        <w:t>.</w:t>
      </w:r>
      <w:r w:rsidR="00356788" w:rsidRPr="00157175">
        <w:rPr>
          <w:rFonts w:ascii="Times New Roman" w:hAnsi="Times New Roman" w:cs="Times New Roman"/>
          <w:sz w:val="28"/>
          <w:szCs w:val="28"/>
        </w:rPr>
        <w:t xml:space="preserve"> </w:t>
      </w:r>
    </w:p>
    <w:p w:rsidR="00ED0536" w:rsidRDefault="00720A5F" w:rsidP="003567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инвестиций по источникам </w:t>
      </w:r>
      <w:r w:rsidR="00F25E46">
        <w:rPr>
          <w:rFonts w:ascii="Times New Roman" w:hAnsi="Times New Roman" w:cs="Times New Roman"/>
          <w:sz w:val="28"/>
          <w:szCs w:val="28"/>
        </w:rPr>
        <w:t>финансирования</w:t>
      </w:r>
      <w:r>
        <w:rPr>
          <w:rFonts w:ascii="Times New Roman" w:hAnsi="Times New Roman" w:cs="Times New Roman"/>
          <w:sz w:val="28"/>
          <w:szCs w:val="28"/>
        </w:rPr>
        <w:t xml:space="preserve"> (по кругу крупных и средних предприятий) преобладают </w:t>
      </w:r>
      <w:r w:rsidR="00937E82">
        <w:rPr>
          <w:rFonts w:ascii="Times New Roman" w:hAnsi="Times New Roman" w:cs="Times New Roman"/>
          <w:sz w:val="28"/>
          <w:szCs w:val="28"/>
        </w:rPr>
        <w:t>привлеченные</w:t>
      </w:r>
      <w:r>
        <w:rPr>
          <w:rFonts w:ascii="Times New Roman" w:hAnsi="Times New Roman" w:cs="Times New Roman"/>
          <w:sz w:val="28"/>
          <w:szCs w:val="28"/>
        </w:rPr>
        <w:t xml:space="preserve"> средства</w:t>
      </w:r>
      <w:r w:rsidR="00675622">
        <w:rPr>
          <w:rFonts w:ascii="Times New Roman" w:hAnsi="Times New Roman" w:cs="Times New Roman"/>
          <w:sz w:val="28"/>
          <w:szCs w:val="28"/>
        </w:rPr>
        <w:t xml:space="preserve"> -</w:t>
      </w:r>
      <w:r w:rsidR="00F25E46">
        <w:rPr>
          <w:rFonts w:ascii="Times New Roman" w:hAnsi="Times New Roman" w:cs="Times New Roman"/>
          <w:sz w:val="28"/>
          <w:szCs w:val="28"/>
        </w:rPr>
        <w:t xml:space="preserve"> </w:t>
      </w:r>
      <w:r w:rsidR="00937E82">
        <w:rPr>
          <w:rFonts w:ascii="Times New Roman" w:hAnsi="Times New Roman" w:cs="Times New Roman"/>
          <w:sz w:val="28"/>
          <w:szCs w:val="28"/>
        </w:rPr>
        <w:t>53,2</w:t>
      </w:r>
      <w:r w:rsidR="00F25E46">
        <w:rPr>
          <w:rFonts w:ascii="Times New Roman" w:hAnsi="Times New Roman" w:cs="Times New Roman"/>
          <w:sz w:val="28"/>
          <w:szCs w:val="28"/>
        </w:rPr>
        <w:t xml:space="preserve"> % или </w:t>
      </w:r>
      <w:r w:rsidR="00937E82">
        <w:rPr>
          <w:rFonts w:ascii="Times New Roman" w:hAnsi="Times New Roman" w:cs="Times New Roman"/>
          <w:sz w:val="28"/>
          <w:szCs w:val="28"/>
        </w:rPr>
        <w:t>533,2</w:t>
      </w:r>
      <w:r w:rsidR="00F25E46">
        <w:rPr>
          <w:rFonts w:ascii="Times New Roman" w:hAnsi="Times New Roman" w:cs="Times New Roman"/>
          <w:sz w:val="28"/>
          <w:szCs w:val="28"/>
        </w:rPr>
        <w:t xml:space="preserve"> млн. рублей</w:t>
      </w:r>
      <w:r w:rsidR="009F3027">
        <w:rPr>
          <w:rFonts w:ascii="Times New Roman" w:hAnsi="Times New Roman" w:cs="Times New Roman"/>
          <w:sz w:val="28"/>
          <w:szCs w:val="28"/>
        </w:rPr>
        <w:t xml:space="preserve">. </w:t>
      </w:r>
      <w:r w:rsidR="00F25E46">
        <w:rPr>
          <w:rFonts w:ascii="Times New Roman" w:hAnsi="Times New Roman" w:cs="Times New Roman"/>
          <w:sz w:val="28"/>
          <w:szCs w:val="28"/>
        </w:rPr>
        <w:t xml:space="preserve">  </w:t>
      </w:r>
    </w:p>
    <w:p w:rsidR="003947A0" w:rsidRPr="005F56EB" w:rsidRDefault="003947A0" w:rsidP="00356788">
      <w:pPr>
        <w:spacing w:after="0" w:line="240" w:lineRule="auto"/>
        <w:ind w:firstLine="709"/>
        <w:jc w:val="both"/>
        <w:rPr>
          <w:rFonts w:ascii="Times New Roman" w:hAnsi="Times New Roman" w:cs="Times New Roman"/>
          <w:sz w:val="16"/>
          <w:szCs w:val="16"/>
        </w:rPr>
      </w:pPr>
    </w:p>
    <w:p w:rsidR="003947A0" w:rsidRPr="00F01D6C" w:rsidRDefault="003947A0" w:rsidP="003947A0">
      <w:pPr>
        <w:spacing w:after="0" w:line="240" w:lineRule="auto"/>
        <w:jc w:val="center"/>
        <w:rPr>
          <w:rFonts w:ascii="Times New Roman" w:hAnsi="Times New Roman" w:cs="Times New Roman"/>
          <w:b/>
          <w:i/>
          <w:sz w:val="28"/>
          <w:szCs w:val="28"/>
        </w:rPr>
      </w:pPr>
      <w:r w:rsidRPr="00F01D6C">
        <w:rPr>
          <w:rFonts w:ascii="Times New Roman" w:hAnsi="Times New Roman" w:cs="Times New Roman"/>
          <w:b/>
          <w:i/>
          <w:sz w:val="28"/>
          <w:szCs w:val="28"/>
        </w:rPr>
        <w:t>Структура источников финансирования инвестиций</w:t>
      </w:r>
    </w:p>
    <w:p w:rsidR="003947A0" w:rsidRPr="00F01D6C" w:rsidRDefault="003947A0" w:rsidP="003947A0">
      <w:pPr>
        <w:spacing w:after="0" w:line="240" w:lineRule="auto"/>
        <w:jc w:val="center"/>
        <w:rPr>
          <w:rFonts w:ascii="Times New Roman" w:hAnsi="Times New Roman" w:cs="Times New Roman"/>
          <w:b/>
          <w:i/>
          <w:sz w:val="28"/>
          <w:szCs w:val="28"/>
        </w:rPr>
      </w:pPr>
      <w:r w:rsidRPr="00F01D6C">
        <w:rPr>
          <w:rFonts w:ascii="Times New Roman" w:hAnsi="Times New Roman" w:cs="Times New Roman"/>
          <w:b/>
          <w:i/>
          <w:sz w:val="28"/>
          <w:szCs w:val="28"/>
        </w:rPr>
        <w:t xml:space="preserve"> крупных и средних предприятий</w:t>
      </w:r>
      <w:r w:rsidR="00C15B4B" w:rsidRPr="00F01D6C">
        <w:rPr>
          <w:rFonts w:ascii="Times New Roman" w:hAnsi="Times New Roman" w:cs="Times New Roman"/>
          <w:b/>
          <w:i/>
          <w:sz w:val="28"/>
          <w:szCs w:val="28"/>
        </w:rPr>
        <w:t>, млн. руб.</w:t>
      </w:r>
    </w:p>
    <w:p w:rsidR="003947A0" w:rsidRDefault="003947A0" w:rsidP="00356788">
      <w:pPr>
        <w:spacing w:after="0" w:line="240" w:lineRule="auto"/>
        <w:ind w:firstLine="709"/>
        <w:jc w:val="both"/>
        <w:rPr>
          <w:rFonts w:ascii="Times New Roman" w:hAnsi="Times New Roman" w:cs="Times New Roman"/>
          <w:sz w:val="28"/>
          <w:szCs w:val="28"/>
        </w:rPr>
      </w:pPr>
    </w:p>
    <w:p w:rsidR="00720A5F" w:rsidRDefault="00ED0536" w:rsidP="00ED053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1505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720A5F">
        <w:rPr>
          <w:rFonts w:ascii="Times New Roman" w:hAnsi="Times New Roman" w:cs="Times New Roman"/>
          <w:sz w:val="28"/>
          <w:szCs w:val="28"/>
        </w:rPr>
        <w:t xml:space="preserve">  </w:t>
      </w:r>
    </w:p>
    <w:p w:rsidR="00A70D3F" w:rsidRPr="005F56EB" w:rsidRDefault="00A70D3F" w:rsidP="00356788">
      <w:pPr>
        <w:spacing w:after="0" w:line="240" w:lineRule="auto"/>
        <w:ind w:firstLine="709"/>
        <w:jc w:val="both"/>
        <w:rPr>
          <w:rFonts w:ascii="Times New Roman" w:hAnsi="Times New Roman" w:cs="Times New Roman"/>
          <w:sz w:val="16"/>
          <w:szCs w:val="16"/>
        </w:rPr>
      </w:pPr>
    </w:p>
    <w:p w:rsidR="009B6C0F" w:rsidRDefault="004A7240" w:rsidP="003567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26334">
        <w:rPr>
          <w:rFonts w:ascii="Times New Roman" w:hAnsi="Times New Roman" w:cs="Times New Roman"/>
          <w:sz w:val="28"/>
          <w:szCs w:val="28"/>
        </w:rPr>
        <w:t xml:space="preserve"> объеме инвестиций за счет привлеченных средств </w:t>
      </w:r>
      <w:r w:rsidR="007552F3">
        <w:rPr>
          <w:rFonts w:ascii="Times New Roman" w:hAnsi="Times New Roman" w:cs="Times New Roman"/>
          <w:sz w:val="28"/>
          <w:szCs w:val="28"/>
        </w:rPr>
        <w:t xml:space="preserve">по крупным и средним предприятиям инвестиции </w:t>
      </w:r>
      <w:r w:rsidR="00ED310F">
        <w:rPr>
          <w:rFonts w:ascii="Times New Roman" w:hAnsi="Times New Roman" w:cs="Times New Roman"/>
          <w:sz w:val="28"/>
          <w:szCs w:val="28"/>
        </w:rPr>
        <w:t xml:space="preserve">за счет </w:t>
      </w:r>
      <w:r w:rsidR="00FA53CA">
        <w:rPr>
          <w:rFonts w:ascii="Times New Roman" w:hAnsi="Times New Roman" w:cs="Times New Roman"/>
          <w:sz w:val="28"/>
          <w:szCs w:val="28"/>
        </w:rPr>
        <w:t xml:space="preserve">средств бюджетов всех уровней </w:t>
      </w:r>
      <w:r w:rsidR="00EE0F74">
        <w:rPr>
          <w:rFonts w:ascii="Times New Roman" w:hAnsi="Times New Roman" w:cs="Times New Roman"/>
          <w:sz w:val="28"/>
          <w:szCs w:val="28"/>
        </w:rPr>
        <w:t xml:space="preserve">составляют </w:t>
      </w:r>
      <w:r w:rsidR="00675622">
        <w:rPr>
          <w:rFonts w:ascii="Times New Roman" w:hAnsi="Times New Roman" w:cs="Times New Roman"/>
          <w:sz w:val="28"/>
          <w:szCs w:val="28"/>
        </w:rPr>
        <w:t>43,7</w:t>
      </w:r>
      <w:r w:rsidR="00FA53CA">
        <w:rPr>
          <w:rFonts w:ascii="Times New Roman" w:hAnsi="Times New Roman" w:cs="Times New Roman"/>
          <w:sz w:val="28"/>
          <w:szCs w:val="28"/>
        </w:rPr>
        <w:t>% (</w:t>
      </w:r>
      <w:r w:rsidR="00675622">
        <w:rPr>
          <w:rFonts w:ascii="Times New Roman" w:hAnsi="Times New Roman" w:cs="Times New Roman"/>
          <w:sz w:val="28"/>
          <w:szCs w:val="28"/>
        </w:rPr>
        <w:t>438,1</w:t>
      </w:r>
      <w:r w:rsidR="00FA53CA">
        <w:rPr>
          <w:rFonts w:ascii="Times New Roman" w:hAnsi="Times New Roman" w:cs="Times New Roman"/>
          <w:sz w:val="28"/>
          <w:szCs w:val="28"/>
        </w:rPr>
        <w:t xml:space="preserve"> млн. руб.)</w:t>
      </w:r>
      <w:r>
        <w:rPr>
          <w:rFonts w:ascii="Times New Roman" w:hAnsi="Times New Roman" w:cs="Times New Roman"/>
          <w:sz w:val="28"/>
          <w:szCs w:val="28"/>
        </w:rPr>
        <w:t xml:space="preserve">. </w:t>
      </w:r>
      <w:r w:rsidR="00FA53CA">
        <w:rPr>
          <w:rFonts w:ascii="Times New Roman" w:hAnsi="Times New Roman" w:cs="Times New Roman"/>
          <w:sz w:val="28"/>
          <w:szCs w:val="28"/>
        </w:rPr>
        <w:t xml:space="preserve">В </w:t>
      </w:r>
      <w:r w:rsidR="009132B6">
        <w:rPr>
          <w:rFonts w:ascii="Times New Roman" w:hAnsi="Times New Roman" w:cs="Times New Roman"/>
          <w:sz w:val="28"/>
          <w:szCs w:val="28"/>
        </w:rPr>
        <w:t>январе-</w:t>
      </w:r>
      <w:r w:rsidR="00957A33">
        <w:rPr>
          <w:rFonts w:ascii="Times New Roman" w:hAnsi="Times New Roman" w:cs="Times New Roman"/>
          <w:sz w:val="28"/>
          <w:szCs w:val="28"/>
        </w:rPr>
        <w:t xml:space="preserve">декабре </w:t>
      </w:r>
      <w:r w:rsidR="009132B6">
        <w:rPr>
          <w:rFonts w:ascii="Times New Roman" w:hAnsi="Times New Roman" w:cs="Times New Roman"/>
          <w:sz w:val="28"/>
          <w:szCs w:val="28"/>
        </w:rPr>
        <w:t>20</w:t>
      </w:r>
      <w:r w:rsidR="000877B4">
        <w:rPr>
          <w:rFonts w:ascii="Times New Roman" w:hAnsi="Times New Roman" w:cs="Times New Roman"/>
          <w:sz w:val="28"/>
          <w:szCs w:val="28"/>
        </w:rPr>
        <w:t>2</w:t>
      </w:r>
      <w:r w:rsidR="00675622">
        <w:rPr>
          <w:rFonts w:ascii="Times New Roman" w:hAnsi="Times New Roman" w:cs="Times New Roman"/>
          <w:sz w:val="28"/>
          <w:szCs w:val="28"/>
        </w:rPr>
        <w:t>3</w:t>
      </w:r>
      <w:r w:rsidR="009132B6">
        <w:rPr>
          <w:rFonts w:ascii="Times New Roman" w:hAnsi="Times New Roman" w:cs="Times New Roman"/>
          <w:sz w:val="28"/>
          <w:szCs w:val="28"/>
        </w:rPr>
        <w:t xml:space="preserve"> года по отно</w:t>
      </w:r>
      <w:r w:rsidR="000877B4">
        <w:rPr>
          <w:rFonts w:ascii="Times New Roman" w:hAnsi="Times New Roman" w:cs="Times New Roman"/>
          <w:sz w:val="28"/>
          <w:szCs w:val="28"/>
        </w:rPr>
        <w:t>шению к аналогичному периоду 202</w:t>
      </w:r>
      <w:r w:rsidR="00675622">
        <w:rPr>
          <w:rFonts w:ascii="Times New Roman" w:hAnsi="Times New Roman" w:cs="Times New Roman"/>
          <w:sz w:val="28"/>
          <w:szCs w:val="28"/>
        </w:rPr>
        <w:t>2</w:t>
      </w:r>
      <w:r w:rsidR="009132B6">
        <w:rPr>
          <w:rFonts w:ascii="Times New Roman" w:hAnsi="Times New Roman" w:cs="Times New Roman"/>
          <w:sz w:val="28"/>
          <w:szCs w:val="28"/>
        </w:rPr>
        <w:t xml:space="preserve"> года </w:t>
      </w:r>
      <w:r w:rsidR="001C2475">
        <w:rPr>
          <w:rFonts w:ascii="Times New Roman" w:hAnsi="Times New Roman" w:cs="Times New Roman"/>
          <w:sz w:val="28"/>
          <w:szCs w:val="28"/>
        </w:rPr>
        <w:t>в общем объеме инвестиций по крупным и средним предприятиям</w:t>
      </w:r>
      <w:r w:rsidR="00596EC5" w:rsidRPr="00596EC5">
        <w:rPr>
          <w:rFonts w:ascii="Times New Roman" w:hAnsi="Times New Roman" w:cs="Times New Roman"/>
          <w:sz w:val="28"/>
          <w:szCs w:val="28"/>
        </w:rPr>
        <w:t xml:space="preserve"> </w:t>
      </w:r>
      <w:r w:rsidR="00596EC5">
        <w:rPr>
          <w:rFonts w:ascii="Times New Roman" w:hAnsi="Times New Roman" w:cs="Times New Roman"/>
          <w:sz w:val="28"/>
          <w:szCs w:val="28"/>
        </w:rPr>
        <w:t xml:space="preserve">наблюдается </w:t>
      </w:r>
      <w:r w:rsidR="00675622">
        <w:rPr>
          <w:rFonts w:ascii="Times New Roman" w:hAnsi="Times New Roman" w:cs="Times New Roman"/>
          <w:sz w:val="28"/>
          <w:szCs w:val="28"/>
        </w:rPr>
        <w:t>увеличение</w:t>
      </w:r>
      <w:r w:rsidR="001C2475">
        <w:rPr>
          <w:rFonts w:ascii="Times New Roman" w:hAnsi="Times New Roman" w:cs="Times New Roman"/>
          <w:sz w:val="28"/>
          <w:szCs w:val="28"/>
        </w:rPr>
        <w:t xml:space="preserve"> </w:t>
      </w:r>
      <w:r w:rsidR="007552F3">
        <w:rPr>
          <w:rFonts w:ascii="Times New Roman" w:hAnsi="Times New Roman" w:cs="Times New Roman"/>
          <w:sz w:val="28"/>
          <w:szCs w:val="28"/>
        </w:rPr>
        <w:t>удельн</w:t>
      </w:r>
      <w:r w:rsidR="00D379EB">
        <w:rPr>
          <w:rFonts w:ascii="Times New Roman" w:hAnsi="Times New Roman" w:cs="Times New Roman"/>
          <w:sz w:val="28"/>
          <w:szCs w:val="28"/>
        </w:rPr>
        <w:t xml:space="preserve">ого </w:t>
      </w:r>
      <w:r w:rsidR="007552F3">
        <w:rPr>
          <w:rFonts w:ascii="Times New Roman" w:hAnsi="Times New Roman" w:cs="Times New Roman"/>
          <w:sz w:val="28"/>
          <w:szCs w:val="28"/>
        </w:rPr>
        <w:t>вес</w:t>
      </w:r>
      <w:r w:rsidR="00D379EB">
        <w:rPr>
          <w:rFonts w:ascii="Times New Roman" w:hAnsi="Times New Roman" w:cs="Times New Roman"/>
          <w:sz w:val="28"/>
          <w:szCs w:val="28"/>
        </w:rPr>
        <w:t>а</w:t>
      </w:r>
      <w:r w:rsidR="007552F3">
        <w:rPr>
          <w:rFonts w:ascii="Times New Roman" w:hAnsi="Times New Roman" w:cs="Times New Roman"/>
          <w:sz w:val="28"/>
          <w:szCs w:val="28"/>
        </w:rPr>
        <w:t xml:space="preserve"> </w:t>
      </w:r>
      <w:r w:rsidR="00ED310F">
        <w:rPr>
          <w:rFonts w:ascii="Times New Roman" w:hAnsi="Times New Roman" w:cs="Times New Roman"/>
          <w:sz w:val="28"/>
          <w:szCs w:val="28"/>
        </w:rPr>
        <w:t xml:space="preserve">бюджетных </w:t>
      </w:r>
      <w:r w:rsidR="007552F3">
        <w:rPr>
          <w:rFonts w:ascii="Times New Roman" w:hAnsi="Times New Roman" w:cs="Times New Roman"/>
          <w:sz w:val="28"/>
          <w:szCs w:val="28"/>
        </w:rPr>
        <w:t xml:space="preserve">инвестиций с </w:t>
      </w:r>
      <w:r w:rsidR="00675622">
        <w:rPr>
          <w:rFonts w:ascii="Times New Roman" w:hAnsi="Times New Roman" w:cs="Times New Roman"/>
          <w:sz w:val="28"/>
          <w:szCs w:val="28"/>
        </w:rPr>
        <w:t>18,2</w:t>
      </w:r>
      <w:r w:rsidR="008E1BD4">
        <w:rPr>
          <w:rFonts w:ascii="Times New Roman" w:hAnsi="Times New Roman" w:cs="Times New Roman"/>
          <w:sz w:val="28"/>
          <w:szCs w:val="28"/>
        </w:rPr>
        <w:t xml:space="preserve"> </w:t>
      </w:r>
      <w:r w:rsidR="001C2475">
        <w:rPr>
          <w:rFonts w:ascii="Times New Roman" w:hAnsi="Times New Roman" w:cs="Times New Roman"/>
          <w:sz w:val="28"/>
          <w:szCs w:val="28"/>
        </w:rPr>
        <w:t xml:space="preserve">% до </w:t>
      </w:r>
      <w:r w:rsidR="00675622">
        <w:rPr>
          <w:rFonts w:ascii="Times New Roman" w:hAnsi="Times New Roman" w:cs="Times New Roman"/>
          <w:sz w:val="28"/>
          <w:szCs w:val="28"/>
        </w:rPr>
        <w:t>43,7</w:t>
      </w:r>
      <w:r w:rsidR="00250CDF">
        <w:rPr>
          <w:rFonts w:ascii="Times New Roman" w:hAnsi="Times New Roman" w:cs="Times New Roman"/>
          <w:sz w:val="28"/>
          <w:szCs w:val="28"/>
        </w:rPr>
        <w:t xml:space="preserve"> </w:t>
      </w:r>
      <w:r w:rsidR="001C2475">
        <w:rPr>
          <w:rFonts w:ascii="Times New Roman" w:hAnsi="Times New Roman" w:cs="Times New Roman"/>
          <w:sz w:val="28"/>
          <w:szCs w:val="28"/>
        </w:rPr>
        <w:t>%</w:t>
      </w:r>
      <w:r w:rsidR="00596EC5">
        <w:rPr>
          <w:rFonts w:ascii="Times New Roman" w:hAnsi="Times New Roman" w:cs="Times New Roman"/>
          <w:sz w:val="28"/>
          <w:szCs w:val="28"/>
        </w:rPr>
        <w:t xml:space="preserve"> и</w:t>
      </w:r>
      <w:r w:rsidR="001C2475">
        <w:rPr>
          <w:rFonts w:ascii="Times New Roman" w:hAnsi="Times New Roman" w:cs="Times New Roman"/>
          <w:sz w:val="28"/>
          <w:szCs w:val="28"/>
        </w:rPr>
        <w:t xml:space="preserve"> </w:t>
      </w:r>
      <w:r w:rsidR="0096779F">
        <w:rPr>
          <w:rFonts w:ascii="Times New Roman" w:hAnsi="Times New Roman" w:cs="Times New Roman"/>
          <w:sz w:val="28"/>
          <w:szCs w:val="28"/>
        </w:rPr>
        <w:t>у</w:t>
      </w:r>
      <w:r w:rsidR="000877B4">
        <w:rPr>
          <w:rFonts w:ascii="Times New Roman" w:hAnsi="Times New Roman" w:cs="Times New Roman"/>
          <w:sz w:val="28"/>
          <w:szCs w:val="28"/>
        </w:rPr>
        <w:t>величение</w:t>
      </w:r>
      <w:r w:rsidR="000005D1">
        <w:rPr>
          <w:rFonts w:ascii="Times New Roman" w:hAnsi="Times New Roman" w:cs="Times New Roman"/>
          <w:sz w:val="28"/>
          <w:szCs w:val="28"/>
        </w:rPr>
        <w:t xml:space="preserve"> </w:t>
      </w:r>
      <w:r w:rsidR="001C2475">
        <w:rPr>
          <w:rFonts w:ascii="Times New Roman" w:hAnsi="Times New Roman" w:cs="Times New Roman"/>
          <w:sz w:val="28"/>
          <w:szCs w:val="28"/>
        </w:rPr>
        <w:t xml:space="preserve">инвестиций за счет </w:t>
      </w:r>
      <w:r w:rsidR="00C70B05">
        <w:rPr>
          <w:rFonts w:ascii="Times New Roman" w:hAnsi="Times New Roman" w:cs="Times New Roman"/>
          <w:sz w:val="28"/>
          <w:szCs w:val="28"/>
        </w:rPr>
        <w:t>местного</w:t>
      </w:r>
      <w:r w:rsidR="00675622">
        <w:rPr>
          <w:rFonts w:ascii="Times New Roman" w:hAnsi="Times New Roman" w:cs="Times New Roman"/>
          <w:sz w:val="28"/>
          <w:szCs w:val="28"/>
        </w:rPr>
        <w:t>, регионального</w:t>
      </w:r>
      <w:r w:rsidR="00C70B05">
        <w:rPr>
          <w:rFonts w:ascii="Times New Roman" w:hAnsi="Times New Roman" w:cs="Times New Roman"/>
          <w:sz w:val="28"/>
          <w:szCs w:val="28"/>
        </w:rPr>
        <w:t xml:space="preserve"> и федерального бюджетов.</w:t>
      </w:r>
      <w:r w:rsidR="007552F3">
        <w:rPr>
          <w:rFonts w:ascii="Times New Roman" w:hAnsi="Times New Roman" w:cs="Times New Roman"/>
          <w:sz w:val="28"/>
          <w:szCs w:val="28"/>
        </w:rPr>
        <w:t xml:space="preserve"> </w:t>
      </w:r>
    </w:p>
    <w:p w:rsidR="00CC2A32" w:rsidRDefault="00356788" w:rsidP="00D92DA4">
      <w:pPr>
        <w:spacing w:after="0" w:line="240" w:lineRule="auto"/>
        <w:ind w:firstLine="709"/>
        <w:jc w:val="both"/>
        <w:rPr>
          <w:rFonts w:ascii="Times New Roman" w:hAnsi="Times New Roman" w:cs="Times New Roman"/>
          <w:sz w:val="28"/>
          <w:szCs w:val="28"/>
        </w:rPr>
      </w:pPr>
      <w:r w:rsidRPr="00157175">
        <w:rPr>
          <w:rFonts w:ascii="Times New Roman" w:hAnsi="Times New Roman" w:cs="Times New Roman"/>
          <w:sz w:val="28"/>
          <w:szCs w:val="28"/>
        </w:rPr>
        <w:t>В видовой структу</w:t>
      </w:r>
      <w:r>
        <w:rPr>
          <w:rFonts w:ascii="Times New Roman" w:hAnsi="Times New Roman" w:cs="Times New Roman"/>
          <w:sz w:val="28"/>
          <w:szCs w:val="28"/>
        </w:rPr>
        <w:t xml:space="preserve">ре </w:t>
      </w:r>
      <w:r w:rsidR="009B6C0F">
        <w:rPr>
          <w:rFonts w:ascii="Times New Roman" w:hAnsi="Times New Roman" w:cs="Times New Roman"/>
          <w:sz w:val="28"/>
          <w:szCs w:val="28"/>
        </w:rPr>
        <w:t xml:space="preserve">инвестиций </w:t>
      </w:r>
      <w:r>
        <w:rPr>
          <w:rFonts w:ascii="Times New Roman" w:hAnsi="Times New Roman" w:cs="Times New Roman"/>
          <w:sz w:val="28"/>
          <w:szCs w:val="28"/>
        </w:rPr>
        <w:t xml:space="preserve">наибольшую долю </w:t>
      </w:r>
      <w:r w:rsidR="009B6C0F">
        <w:rPr>
          <w:rFonts w:ascii="Times New Roman" w:hAnsi="Times New Roman" w:cs="Times New Roman"/>
          <w:sz w:val="28"/>
          <w:szCs w:val="28"/>
        </w:rPr>
        <w:t>составляют вложения в</w:t>
      </w:r>
      <w:r w:rsidR="00675622" w:rsidRPr="00592F98">
        <w:rPr>
          <w:rFonts w:ascii="Times New Roman" w:hAnsi="Times New Roman" w:cs="Times New Roman"/>
          <w:sz w:val="28"/>
          <w:szCs w:val="28"/>
        </w:rPr>
        <w:t xml:space="preserve"> здания и сооружения</w:t>
      </w:r>
      <w:r w:rsidR="00675622" w:rsidRPr="00157175">
        <w:rPr>
          <w:rFonts w:ascii="Times New Roman" w:hAnsi="Times New Roman" w:cs="Times New Roman"/>
          <w:sz w:val="28"/>
          <w:szCs w:val="28"/>
        </w:rPr>
        <w:t xml:space="preserve"> </w:t>
      </w:r>
      <w:r w:rsidR="00675622">
        <w:rPr>
          <w:rFonts w:ascii="Times New Roman" w:hAnsi="Times New Roman" w:cs="Times New Roman"/>
          <w:sz w:val="28"/>
          <w:szCs w:val="28"/>
        </w:rPr>
        <w:t>47,2</w:t>
      </w:r>
      <w:r w:rsidR="00050DF9">
        <w:rPr>
          <w:rFonts w:ascii="Times New Roman" w:hAnsi="Times New Roman" w:cs="Times New Roman"/>
          <w:sz w:val="28"/>
          <w:szCs w:val="28"/>
        </w:rPr>
        <w:t xml:space="preserve"> </w:t>
      </w:r>
      <w:r w:rsidR="009B6C0F">
        <w:rPr>
          <w:rFonts w:ascii="Times New Roman" w:hAnsi="Times New Roman" w:cs="Times New Roman"/>
          <w:sz w:val="28"/>
          <w:szCs w:val="28"/>
        </w:rPr>
        <w:t>%</w:t>
      </w:r>
      <w:r w:rsidRPr="00157175">
        <w:rPr>
          <w:rFonts w:ascii="Times New Roman" w:hAnsi="Times New Roman" w:cs="Times New Roman"/>
          <w:sz w:val="28"/>
          <w:szCs w:val="28"/>
        </w:rPr>
        <w:t xml:space="preserve"> (</w:t>
      </w:r>
      <w:r w:rsidR="00C70B05">
        <w:rPr>
          <w:rFonts w:ascii="Times New Roman" w:hAnsi="Times New Roman" w:cs="Times New Roman"/>
          <w:sz w:val="28"/>
          <w:szCs w:val="28"/>
        </w:rPr>
        <w:t>4</w:t>
      </w:r>
      <w:r w:rsidR="00675622">
        <w:rPr>
          <w:rFonts w:ascii="Times New Roman" w:hAnsi="Times New Roman" w:cs="Times New Roman"/>
          <w:sz w:val="28"/>
          <w:szCs w:val="28"/>
        </w:rPr>
        <w:t>73,6</w:t>
      </w:r>
      <w:r>
        <w:rPr>
          <w:rFonts w:ascii="Times New Roman" w:hAnsi="Times New Roman" w:cs="Times New Roman"/>
          <w:sz w:val="28"/>
          <w:szCs w:val="28"/>
        </w:rPr>
        <w:t xml:space="preserve"> млн. рублей)</w:t>
      </w:r>
      <w:r w:rsidR="00B62967">
        <w:rPr>
          <w:rFonts w:ascii="Times New Roman" w:hAnsi="Times New Roman" w:cs="Times New Roman"/>
          <w:sz w:val="28"/>
          <w:szCs w:val="28"/>
        </w:rPr>
        <w:t>.</w:t>
      </w:r>
      <w:r w:rsidR="00C70B05">
        <w:rPr>
          <w:rFonts w:ascii="Times New Roman" w:hAnsi="Times New Roman" w:cs="Times New Roman"/>
          <w:sz w:val="28"/>
          <w:szCs w:val="28"/>
        </w:rPr>
        <w:t xml:space="preserve"> И</w:t>
      </w:r>
      <w:r w:rsidR="00EB3CC7" w:rsidRPr="00592F98">
        <w:rPr>
          <w:rFonts w:ascii="Times New Roman" w:hAnsi="Times New Roman" w:cs="Times New Roman"/>
          <w:sz w:val="28"/>
          <w:szCs w:val="28"/>
        </w:rPr>
        <w:t>нвестици</w:t>
      </w:r>
      <w:r w:rsidR="00C70B05">
        <w:rPr>
          <w:rFonts w:ascii="Times New Roman" w:hAnsi="Times New Roman" w:cs="Times New Roman"/>
          <w:sz w:val="28"/>
          <w:szCs w:val="28"/>
        </w:rPr>
        <w:t>и</w:t>
      </w:r>
      <w:r w:rsidR="00675622" w:rsidRPr="00675622">
        <w:rPr>
          <w:rFonts w:ascii="Times New Roman" w:hAnsi="Times New Roman" w:cs="Times New Roman"/>
          <w:sz w:val="28"/>
          <w:szCs w:val="28"/>
        </w:rPr>
        <w:t xml:space="preserve"> </w:t>
      </w:r>
      <w:r w:rsidR="00675622">
        <w:rPr>
          <w:rFonts w:ascii="Times New Roman" w:hAnsi="Times New Roman" w:cs="Times New Roman"/>
          <w:sz w:val="28"/>
          <w:szCs w:val="28"/>
        </w:rPr>
        <w:t xml:space="preserve">в </w:t>
      </w:r>
      <w:r w:rsidR="00675622" w:rsidRPr="00157175">
        <w:rPr>
          <w:rFonts w:ascii="Times New Roman" w:hAnsi="Times New Roman" w:cs="Times New Roman"/>
          <w:sz w:val="28"/>
          <w:szCs w:val="28"/>
        </w:rPr>
        <w:t>машины</w:t>
      </w:r>
      <w:r w:rsidR="00675622">
        <w:rPr>
          <w:rFonts w:ascii="Times New Roman" w:hAnsi="Times New Roman" w:cs="Times New Roman"/>
          <w:sz w:val="28"/>
          <w:szCs w:val="28"/>
        </w:rPr>
        <w:t xml:space="preserve"> и</w:t>
      </w:r>
      <w:r w:rsidR="00675622" w:rsidRPr="00157175">
        <w:rPr>
          <w:rFonts w:ascii="Times New Roman" w:hAnsi="Times New Roman" w:cs="Times New Roman"/>
          <w:sz w:val="28"/>
          <w:szCs w:val="28"/>
        </w:rPr>
        <w:t xml:space="preserve"> оборудование</w:t>
      </w:r>
      <w:r w:rsidR="00EB3CC7" w:rsidRPr="00592F98">
        <w:rPr>
          <w:rFonts w:ascii="Times New Roman" w:hAnsi="Times New Roman" w:cs="Times New Roman"/>
          <w:sz w:val="28"/>
          <w:szCs w:val="28"/>
        </w:rPr>
        <w:t xml:space="preserve"> </w:t>
      </w:r>
      <w:r w:rsidR="004420A5">
        <w:rPr>
          <w:rFonts w:ascii="Times New Roman" w:hAnsi="Times New Roman" w:cs="Times New Roman"/>
          <w:sz w:val="28"/>
          <w:szCs w:val="28"/>
        </w:rPr>
        <w:t>составил</w:t>
      </w:r>
      <w:r w:rsidR="00C70B05">
        <w:rPr>
          <w:rFonts w:ascii="Times New Roman" w:hAnsi="Times New Roman" w:cs="Times New Roman"/>
          <w:sz w:val="28"/>
          <w:szCs w:val="28"/>
        </w:rPr>
        <w:t xml:space="preserve">и </w:t>
      </w:r>
      <w:r w:rsidR="00675622">
        <w:rPr>
          <w:rFonts w:ascii="Times New Roman" w:hAnsi="Times New Roman" w:cs="Times New Roman"/>
          <w:sz w:val="28"/>
          <w:szCs w:val="28"/>
        </w:rPr>
        <w:t>282,8</w:t>
      </w:r>
      <w:r w:rsidR="00C70B05">
        <w:rPr>
          <w:rFonts w:ascii="Times New Roman" w:hAnsi="Times New Roman" w:cs="Times New Roman"/>
          <w:sz w:val="28"/>
          <w:szCs w:val="28"/>
        </w:rPr>
        <w:t xml:space="preserve"> млн. руб. или 2</w:t>
      </w:r>
      <w:r w:rsidR="00675622">
        <w:rPr>
          <w:rFonts w:ascii="Times New Roman" w:hAnsi="Times New Roman" w:cs="Times New Roman"/>
          <w:sz w:val="28"/>
          <w:szCs w:val="28"/>
        </w:rPr>
        <w:t>8,2</w:t>
      </w:r>
      <w:r w:rsidR="00C70B05">
        <w:rPr>
          <w:rFonts w:ascii="Times New Roman" w:hAnsi="Times New Roman" w:cs="Times New Roman"/>
          <w:sz w:val="28"/>
          <w:szCs w:val="28"/>
        </w:rPr>
        <w:t xml:space="preserve"> % общего объема инвестиций. И</w:t>
      </w:r>
      <w:r w:rsidR="000005D1" w:rsidRPr="00592F98">
        <w:rPr>
          <w:rFonts w:ascii="Times New Roman" w:hAnsi="Times New Roman" w:cs="Times New Roman"/>
          <w:sz w:val="28"/>
          <w:szCs w:val="28"/>
        </w:rPr>
        <w:t>нвестици</w:t>
      </w:r>
      <w:r w:rsidR="00C70B05">
        <w:rPr>
          <w:rFonts w:ascii="Times New Roman" w:hAnsi="Times New Roman" w:cs="Times New Roman"/>
          <w:sz w:val="28"/>
          <w:szCs w:val="28"/>
        </w:rPr>
        <w:t>и</w:t>
      </w:r>
      <w:r w:rsidR="000005D1" w:rsidRPr="00592F98">
        <w:rPr>
          <w:rFonts w:ascii="Times New Roman" w:hAnsi="Times New Roman" w:cs="Times New Roman"/>
          <w:sz w:val="28"/>
          <w:szCs w:val="28"/>
        </w:rPr>
        <w:t xml:space="preserve"> в транспортные средства </w:t>
      </w:r>
      <w:r w:rsidR="00C70B05">
        <w:rPr>
          <w:rFonts w:ascii="Times New Roman" w:hAnsi="Times New Roman" w:cs="Times New Roman"/>
          <w:sz w:val="28"/>
          <w:szCs w:val="28"/>
        </w:rPr>
        <w:t>у</w:t>
      </w:r>
      <w:r w:rsidR="00675622">
        <w:rPr>
          <w:rFonts w:ascii="Times New Roman" w:hAnsi="Times New Roman" w:cs="Times New Roman"/>
          <w:sz w:val="28"/>
          <w:szCs w:val="28"/>
        </w:rPr>
        <w:t>меньшились почти в</w:t>
      </w:r>
      <w:r w:rsidR="00C70B05">
        <w:rPr>
          <w:rFonts w:ascii="Times New Roman" w:hAnsi="Times New Roman" w:cs="Times New Roman"/>
          <w:sz w:val="28"/>
          <w:szCs w:val="28"/>
        </w:rPr>
        <w:t xml:space="preserve"> </w:t>
      </w:r>
      <w:r w:rsidR="00675622">
        <w:rPr>
          <w:rFonts w:ascii="Times New Roman" w:hAnsi="Times New Roman" w:cs="Times New Roman"/>
          <w:sz w:val="28"/>
          <w:szCs w:val="28"/>
        </w:rPr>
        <w:t>5</w:t>
      </w:r>
      <w:r w:rsidR="00C70B05">
        <w:rPr>
          <w:rFonts w:ascii="Times New Roman" w:hAnsi="Times New Roman" w:cs="Times New Roman"/>
          <w:sz w:val="28"/>
          <w:szCs w:val="28"/>
        </w:rPr>
        <w:t xml:space="preserve"> раз и </w:t>
      </w:r>
      <w:r w:rsidR="000005D1" w:rsidRPr="00592F98">
        <w:rPr>
          <w:rFonts w:ascii="Times New Roman" w:hAnsi="Times New Roman" w:cs="Times New Roman"/>
          <w:sz w:val="28"/>
          <w:szCs w:val="28"/>
        </w:rPr>
        <w:t>составил</w:t>
      </w:r>
      <w:r w:rsidR="00C70B05">
        <w:rPr>
          <w:rFonts w:ascii="Times New Roman" w:hAnsi="Times New Roman" w:cs="Times New Roman"/>
          <w:sz w:val="28"/>
          <w:szCs w:val="28"/>
        </w:rPr>
        <w:t xml:space="preserve">и </w:t>
      </w:r>
      <w:r w:rsidR="00675622">
        <w:rPr>
          <w:rFonts w:ascii="Times New Roman" w:hAnsi="Times New Roman" w:cs="Times New Roman"/>
          <w:sz w:val="28"/>
          <w:szCs w:val="28"/>
        </w:rPr>
        <w:t>29,6</w:t>
      </w:r>
      <w:r w:rsidR="00C70B05">
        <w:rPr>
          <w:rFonts w:ascii="Times New Roman" w:hAnsi="Times New Roman" w:cs="Times New Roman"/>
          <w:sz w:val="28"/>
          <w:szCs w:val="28"/>
        </w:rPr>
        <w:t xml:space="preserve"> млн. руб.</w:t>
      </w:r>
      <w:r w:rsidR="000005D1">
        <w:rPr>
          <w:rFonts w:ascii="Times New Roman" w:hAnsi="Times New Roman" w:cs="Times New Roman"/>
          <w:sz w:val="28"/>
          <w:szCs w:val="28"/>
        </w:rPr>
        <w:t xml:space="preserve"> </w:t>
      </w:r>
      <w:r w:rsidR="00661F24">
        <w:rPr>
          <w:rFonts w:ascii="Times New Roman" w:hAnsi="Times New Roman" w:cs="Times New Roman"/>
          <w:sz w:val="28"/>
          <w:szCs w:val="28"/>
        </w:rPr>
        <w:t>Инвестиции в жилищное строительство</w:t>
      </w:r>
      <w:r w:rsidR="002750D9">
        <w:rPr>
          <w:rFonts w:ascii="Times New Roman" w:hAnsi="Times New Roman" w:cs="Times New Roman"/>
          <w:sz w:val="28"/>
          <w:szCs w:val="28"/>
        </w:rPr>
        <w:t xml:space="preserve"> по крупным и средним предприятиям</w:t>
      </w:r>
      <w:r w:rsidR="00661F24">
        <w:rPr>
          <w:rFonts w:ascii="Times New Roman" w:hAnsi="Times New Roman" w:cs="Times New Roman"/>
          <w:sz w:val="28"/>
          <w:szCs w:val="28"/>
        </w:rPr>
        <w:t xml:space="preserve"> отсутствуют. </w:t>
      </w:r>
    </w:p>
    <w:p w:rsidR="00FF4CAF" w:rsidRDefault="00661F24" w:rsidP="00661F24">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105525" cy="37528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00D25" w:rsidRDefault="005C4AE4" w:rsidP="008266C6">
      <w:pPr>
        <w:spacing w:after="0" w:line="240" w:lineRule="auto"/>
        <w:ind w:firstLine="709"/>
        <w:jc w:val="both"/>
        <w:rPr>
          <w:rFonts w:ascii="Times New Roman" w:hAnsi="Times New Roman" w:cs="Times New Roman"/>
          <w:color w:val="000000" w:themeColor="text1"/>
          <w:sz w:val="28"/>
          <w:szCs w:val="28"/>
        </w:rPr>
      </w:pPr>
      <w:r w:rsidRPr="00294405">
        <w:rPr>
          <w:rFonts w:ascii="Times New Roman" w:hAnsi="Times New Roman" w:cs="Times New Roman"/>
          <w:color w:val="000000" w:themeColor="text1"/>
          <w:sz w:val="28"/>
          <w:szCs w:val="28"/>
        </w:rPr>
        <w:t xml:space="preserve">За </w:t>
      </w:r>
      <w:r w:rsidR="00F66A0A" w:rsidRPr="00294405">
        <w:rPr>
          <w:rFonts w:ascii="Times New Roman" w:hAnsi="Times New Roman" w:cs="Times New Roman"/>
          <w:color w:val="000000" w:themeColor="text1"/>
          <w:sz w:val="28"/>
          <w:szCs w:val="28"/>
        </w:rPr>
        <w:t>январь-</w:t>
      </w:r>
      <w:r w:rsidR="006C7DD9" w:rsidRPr="00294405">
        <w:rPr>
          <w:rFonts w:ascii="Times New Roman" w:hAnsi="Times New Roman" w:cs="Times New Roman"/>
          <w:color w:val="000000" w:themeColor="text1"/>
          <w:sz w:val="28"/>
          <w:szCs w:val="28"/>
        </w:rPr>
        <w:t>декабрь</w:t>
      </w:r>
      <w:r w:rsidR="00F66A0A" w:rsidRPr="00294405">
        <w:rPr>
          <w:rFonts w:ascii="Times New Roman" w:hAnsi="Times New Roman" w:cs="Times New Roman"/>
          <w:color w:val="000000" w:themeColor="text1"/>
          <w:sz w:val="28"/>
          <w:szCs w:val="28"/>
        </w:rPr>
        <w:t xml:space="preserve"> </w:t>
      </w:r>
      <w:r w:rsidRPr="00294405">
        <w:rPr>
          <w:rFonts w:ascii="Times New Roman" w:hAnsi="Times New Roman" w:cs="Times New Roman"/>
          <w:color w:val="000000" w:themeColor="text1"/>
          <w:sz w:val="28"/>
          <w:szCs w:val="28"/>
        </w:rPr>
        <w:t>20</w:t>
      </w:r>
      <w:r w:rsidR="0096779F" w:rsidRPr="00294405">
        <w:rPr>
          <w:rFonts w:ascii="Times New Roman" w:hAnsi="Times New Roman" w:cs="Times New Roman"/>
          <w:color w:val="000000" w:themeColor="text1"/>
          <w:sz w:val="28"/>
          <w:szCs w:val="28"/>
        </w:rPr>
        <w:t>2</w:t>
      </w:r>
      <w:r w:rsidR="00960D79">
        <w:rPr>
          <w:rFonts w:ascii="Times New Roman" w:hAnsi="Times New Roman" w:cs="Times New Roman"/>
          <w:color w:val="000000" w:themeColor="text1"/>
          <w:sz w:val="28"/>
          <w:szCs w:val="28"/>
        </w:rPr>
        <w:t>3</w:t>
      </w:r>
      <w:r w:rsidR="007552F3" w:rsidRPr="00294405">
        <w:rPr>
          <w:rFonts w:ascii="Times New Roman" w:hAnsi="Times New Roman" w:cs="Times New Roman"/>
          <w:color w:val="000000" w:themeColor="text1"/>
          <w:sz w:val="28"/>
          <w:szCs w:val="28"/>
        </w:rPr>
        <w:t xml:space="preserve"> год</w:t>
      </w:r>
      <w:r w:rsidR="00F66A0A" w:rsidRPr="00294405">
        <w:rPr>
          <w:rFonts w:ascii="Times New Roman" w:hAnsi="Times New Roman" w:cs="Times New Roman"/>
          <w:color w:val="000000" w:themeColor="text1"/>
          <w:sz w:val="28"/>
          <w:szCs w:val="28"/>
        </w:rPr>
        <w:t>а</w:t>
      </w:r>
      <w:r w:rsidR="0044361F">
        <w:rPr>
          <w:rFonts w:ascii="Times New Roman" w:hAnsi="Times New Roman" w:cs="Times New Roman"/>
          <w:color w:val="000000" w:themeColor="text1"/>
          <w:sz w:val="28"/>
          <w:szCs w:val="28"/>
        </w:rPr>
        <w:t xml:space="preserve"> ввод в действие общей площади жилых домов составил 1</w:t>
      </w:r>
      <w:r w:rsidR="00960D79">
        <w:rPr>
          <w:rFonts w:ascii="Times New Roman" w:hAnsi="Times New Roman" w:cs="Times New Roman"/>
          <w:color w:val="000000" w:themeColor="text1"/>
          <w:sz w:val="28"/>
          <w:szCs w:val="28"/>
        </w:rPr>
        <w:t>668</w:t>
      </w:r>
      <w:r w:rsidR="0044361F">
        <w:rPr>
          <w:rFonts w:ascii="Times New Roman" w:hAnsi="Times New Roman" w:cs="Times New Roman"/>
          <w:color w:val="000000" w:themeColor="text1"/>
          <w:sz w:val="28"/>
          <w:szCs w:val="28"/>
        </w:rPr>
        <w:t xml:space="preserve"> кв. м жилья, что на </w:t>
      </w:r>
      <w:r w:rsidR="00960D79">
        <w:rPr>
          <w:rFonts w:ascii="Times New Roman" w:hAnsi="Times New Roman" w:cs="Times New Roman"/>
          <w:color w:val="000000" w:themeColor="text1"/>
          <w:sz w:val="28"/>
          <w:szCs w:val="28"/>
        </w:rPr>
        <w:t>35,3</w:t>
      </w:r>
      <w:r w:rsidR="0044361F">
        <w:rPr>
          <w:rFonts w:ascii="Times New Roman" w:hAnsi="Times New Roman" w:cs="Times New Roman"/>
          <w:color w:val="000000" w:themeColor="text1"/>
          <w:sz w:val="28"/>
          <w:szCs w:val="28"/>
        </w:rPr>
        <w:t xml:space="preserve"> % выше уровня прошлого года, при</w:t>
      </w:r>
      <w:r w:rsidR="00960D79">
        <w:rPr>
          <w:rFonts w:ascii="Times New Roman" w:hAnsi="Times New Roman" w:cs="Times New Roman"/>
          <w:color w:val="000000" w:themeColor="text1"/>
          <w:sz w:val="28"/>
          <w:szCs w:val="28"/>
        </w:rPr>
        <w:t xml:space="preserve"> </w:t>
      </w:r>
      <w:r w:rsidR="0044361F">
        <w:rPr>
          <w:rFonts w:ascii="Times New Roman" w:hAnsi="Times New Roman" w:cs="Times New Roman"/>
          <w:color w:val="000000" w:themeColor="text1"/>
          <w:sz w:val="28"/>
          <w:szCs w:val="28"/>
        </w:rPr>
        <w:t>этом</w:t>
      </w:r>
      <w:r w:rsidRPr="00294405">
        <w:rPr>
          <w:rFonts w:ascii="Times New Roman" w:hAnsi="Times New Roman" w:cs="Times New Roman"/>
          <w:color w:val="000000" w:themeColor="text1"/>
          <w:sz w:val="28"/>
          <w:szCs w:val="28"/>
        </w:rPr>
        <w:t xml:space="preserve"> </w:t>
      </w:r>
      <w:r w:rsidR="00D44FD7" w:rsidRPr="00294405">
        <w:rPr>
          <w:rFonts w:ascii="Times New Roman" w:hAnsi="Times New Roman" w:cs="Times New Roman"/>
          <w:color w:val="000000" w:themeColor="text1"/>
          <w:sz w:val="28"/>
          <w:szCs w:val="28"/>
        </w:rPr>
        <w:t xml:space="preserve">индивидуальными застройщиками </w:t>
      </w:r>
      <w:r w:rsidRPr="00294405">
        <w:rPr>
          <w:rFonts w:ascii="Times New Roman" w:hAnsi="Times New Roman" w:cs="Times New Roman"/>
          <w:color w:val="000000" w:themeColor="text1"/>
          <w:sz w:val="28"/>
          <w:szCs w:val="28"/>
        </w:rPr>
        <w:t xml:space="preserve">введено в действие </w:t>
      </w:r>
      <w:r w:rsidR="0044361F">
        <w:rPr>
          <w:rFonts w:ascii="Times New Roman" w:hAnsi="Times New Roman" w:cs="Times New Roman"/>
          <w:color w:val="000000" w:themeColor="text1"/>
          <w:sz w:val="28"/>
          <w:szCs w:val="28"/>
        </w:rPr>
        <w:t>1</w:t>
      </w:r>
      <w:r w:rsidR="00960D79">
        <w:rPr>
          <w:rFonts w:ascii="Times New Roman" w:hAnsi="Times New Roman" w:cs="Times New Roman"/>
          <w:color w:val="000000" w:themeColor="text1"/>
          <w:sz w:val="28"/>
          <w:szCs w:val="28"/>
        </w:rPr>
        <w:t>668</w:t>
      </w:r>
      <w:r w:rsidRPr="00294405">
        <w:rPr>
          <w:rFonts w:ascii="Times New Roman" w:hAnsi="Times New Roman" w:cs="Times New Roman"/>
          <w:color w:val="000000" w:themeColor="text1"/>
          <w:sz w:val="28"/>
          <w:szCs w:val="28"/>
        </w:rPr>
        <w:t xml:space="preserve"> кв. м жилья (</w:t>
      </w:r>
      <w:r w:rsidR="00960D79">
        <w:rPr>
          <w:rFonts w:ascii="Times New Roman" w:hAnsi="Times New Roman" w:cs="Times New Roman"/>
          <w:color w:val="000000" w:themeColor="text1"/>
          <w:sz w:val="28"/>
          <w:szCs w:val="28"/>
        </w:rPr>
        <w:t>выше</w:t>
      </w:r>
      <w:r w:rsidR="00261FBE" w:rsidRPr="00294405">
        <w:rPr>
          <w:rFonts w:ascii="Times New Roman" w:hAnsi="Times New Roman" w:cs="Times New Roman"/>
          <w:color w:val="000000" w:themeColor="text1"/>
          <w:sz w:val="28"/>
          <w:szCs w:val="28"/>
        </w:rPr>
        <w:t xml:space="preserve"> на </w:t>
      </w:r>
      <w:r w:rsidR="00960D79">
        <w:rPr>
          <w:rFonts w:ascii="Times New Roman" w:hAnsi="Times New Roman" w:cs="Times New Roman"/>
          <w:color w:val="000000" w:themeColor="text1"/>
          <w:sz w:val="28"/>
          <w:szCs w:val="28"/>
        </w:rPr>
        <w:t>65,3</w:t>
      </w:r>
      <w:r w:rsidR="00250CDF" w:rsidRPr="00294405">
        <w:rPr>
          <w:rFonts w:ascii="Times New Roman" w:hAnsi="Times New Roman" w:cs="Times New Roman"/>
          <w:color w:val="000000" w:themeColor="text1"/>
          <w:sz w:val="28"/>
          <w:szCs w:val="28"/>
        </w:rPr>
        <w:t xml:space="preserve"> </w:t>
      </w:r>
      <w:r w:rsidR="00436B59" w:rsidRPr="00294405">
        <w:rPr>
          <w:rFonts w:ascii="Times New Roman" w:hAnsi="Times New Roman" w:cs="Times New Roman"/>
          <w:color w:val="000000" w:themeColor="text1"/>
          <w:sz w:val="28"/>
          <w:szCs w:val="28"/>
        </w:rPr>
        <w:t xml:space="preserve">% к уровню </w:t>
      </w:r>
      <w:r w:rsidR="00923567" w:rsidRPr="00294405">
        <w:rPr>
          <w:rFonts w:ascii="Times New Roman" w:hAnsi="Times New Roman" w:cs="Times New Roman"/>
          <w:color w:val="000000" w:themeColor="text1"/>
          <w:sz w:val="28"/>
          <w:szCs w:val="28"/>
        </w:rPr>
        <w:t>20</w:t>
      </w:r>
      <w:r w:rsidR="00294405" w:rsidRPr="00294405">
        <w:rPr>
          <w:rFonts w:ascii="Times New Roman" w:hAnsi="Times New Roman" w:cs="Times New Roman"/>
          <w:color w:val="000000" w:themeColor="text1"/>
          <w:sz w:val="28"/>
          <w:szCs w:val="28"/>
        </w:rPr>
        <w:t>2</w:t>
      </w:r>
      <w:r w:rsidR="00960D79">
        <w:rPr>
          <w:rFonts w:ascii="Times New Roman" w:hAnsi="Times New Roman" w:cs="Times New Roman"/>
          <w:color w:val="000000" w:themeColor="text1"/>
          <w:sz w:val="28"/>
          <w:szCs w:val="28"/>
        </w:rPr>
        <w:t>2</w:t>
      </w:r>
      <w:r w:rsidRPr="00294405">
        <w:rPr>
          <w:rFonts w:ascii="Times New Roman" w:hAnsi="Times New Roman" w:cs="Times New Roman"/>
          <w:color w:val="000000" w:themeColor="text1"/>
          <w:sz w:val="28"/>
          <w:szCs w:val="28"/>
        </w:rPr>
        <w:t xml:space="preserve"> г</w:t>
      </w:r>
      <w:r w:rsidR="00F20E69" w:rsidRPr="00294405">
        <w:rPr>
          <w:rFonts w:ascii="Times New Roman" w:hAnsi="Times New Roman" w:cs="Times New Roman"/>
          <w:color w:val="000000" w:themeColor="text1"/>
          <w:sz w:val="28"/>
          <w:szCs w:val="28"/>
        </w:rPr>
        <w:t>од</w:t>
      </w:r>
      <w:r w:rsidR="007338CE" w:rsidRPr="00294405">
        <w:rPr>
          <w:rFonts w:ascii="Times New Roman" w:hAnsi="Times New Roman" w:cs="Times New Roman"/>
          <w:color w:val="000000" w:themeColor="text1"/>
          <w:sz w:val="28"/>
          <w:szCs w:val="28"/>
        </w:rPr>
        <w:t>а</w:t>
      </w:r>
      <w:r w:rsidRPr="00294405">
        <w:rPr>
          <w:rFonts w:ascii="Times New Roman" w:hAnsi="Times New Roman" w:cs="Times New Roman"/>
          <w:color w:val="000000" w:themeColor="text1"/>
          <w:sz w:val="28"/>
          <w:szCs w:val="28"/>
        </w:rPr>
        <w:t>)</w:t>
      </w:r>
      <w:r w:rsidR="00D44FD7" w:rsidRPr="00294405">
        <w:rPr>
          <w:rFonts w:ascii="Times New Roman" w:hAnsi="Times New Roman" w:cs="Times New Roman"/>
          <w:color w:val="000000" w:themeColor="text1"/>
          <w:sz w:val="28"/>
          <w:szCs w:val="28"/>
        </w:rPr>
        <w:t xml:space="preserve">. </w:t>
      </w:r>
      <w:bookmarkStart w:id="1" w:name="_GoBack"/>
      <w:bookmarkEnd w:id="1"/>
    </w:p>
    <w:p w:rsidR="0044361F" w:rsidRPr="0044361F" w:rsidRDefault="0044361F" w:rsidP="0044361F">
      <w:pPr>
        <w:spacing w:after="0" w:line="240" w:lineRule="auto"/>
        <w:ind w:firstLine="709"/>
        <w:jc w:val="both"/>
        <w:rPr>
          <w:rFonts w:ascii="Times New Roman" w:hAnsi="Times New Roman" w:cs="Times New Roman"/>
          <w:sz w:val="28"/>
          <w:szCs w:val="28"/>
        </w:rPr>
      </w:pPr>
      <w:r w:rsidRPr="0044361F">
        <w:rPr>
          <w:rFonts w:ascii="Times New Roman" w:hAnsi="Times New Roman" w:cs="Times New Roman"/>
          <w:sz w:val="28"/>
          <w:szCs w:val="28"/>
        </w:rPr>
        <w:t>Субъектами малого предпринимательства пр</w:t>
      </w:r>
      <w:r w:rsidR="00960D79">
        <w:rPr>
          <w:rFonts w:ascii="Times New Roman" w:hAnsi="Times New Roman" w:cs="Times New Roman"/>
          <w:sz w:val="28"/>
          <w:szCs w:val="28"/>
        </w:rPr>
        <w:t>ивлечено инвестиций в размере 220</w:t>
      </w:r>
      <w:r w:rsidRPr="0044361F">
        <w:rPr>
          <w:rFonts w:ascii="Times New Roman" w:hAnsi="Times New Roman" w:cs="Times New Roman"/>
          <w:sz w:val="28"/>
          <w:szCs w:val="28"/>
        </w:rPr>
        <w:t xml:space="preserve"> млн. рублей. </w:t>
      </w:r>
      <w:r w:rsidR="00960D79" w:rsidRPr="00960D79">
        <w:rPr>
          <w:rFonts w:ascii="Times New Roman" w:hAnsi="Times New Roman" w:cs="Times New Roman"/>
          <w:sz w:val="28"/>
          <w:szCs w:val="28"/>
        </w:rPr>
        <w:t>В числе внебюджетных инвестиционных проектов, реализуемых в 2023 году: строительство магазина в с. Топчиха, приобретение сельскохозяйственной техники, машин, оборудования крестьянскими (фермерскими) хозяйствами и сельскохозяйственными предприятиями района.</w:t>
      </w:r>
    </w:p>
    <w:p w:rsidR="0044361F" w:rsidRPr="0044361F" w:rsidRDefault="0044361F" w:rsidP="0044361F">
      <w:pPr>
        <w:spacing w:after="0" w:line="240" w:lineRule="auto"/>
        <w:ind w:firstLine="709"/>
        <w:jc w:val="both"/>
        <w:rPr>
          <w:rFonts w:ascii="Times New Roman" w:hAnsi="Times New Roman" w:cs="Times New Roman"/>
          <w:sz w:val="28"/>
          <w:szCs w:val="28"/>
        </w:rPr>
      </w:pPr>
      <w:r w:rsidRPr="0044361F">
        <w:rPr>
          <w:rFonts w:ascii="Times New Roman" w:hAnsi="Times New Roman" w:cs="Times New Roman"/>
          <w:sz w:val="28"/>
          <w:szCs w:val="28"/>
        </w:rPr>
        <w:t xml:space="preserve">В рамках национального проекта «Демография» завершилось строительство 2 этажного детского ясли-сада на 140 мест со своей </w:t>
      </w:r>
      <w:proofErr w:type="spellStart"/>
      <w:r w:rsidRPr="0044361F">
        <w:rPr>
          <w:rFonts w:ascii="Times New Roman" w:hAnsi="Times New Roman" w:cs="Times New Roman"/>
          <w:sz w:val="28"/>
          <w:szCs w:val="28"/>
        </w:rPr>
        <w:t>блочно</w:t>
      </w:r>
      <w:proofErr w:type="spellEnd"/>
      <w:r w:rsidRPr="0044361F">
        <w:rPr>
          <w:rFonts w:ascii="Times New Roman" w:hAnsi="Times New Roman" w:cs="Times New Roman"/>
          <w:sz w:val="28"/>
          <w:szCs w:val="28"/>
        </w:rPr>
        <w:t xml:space="preserve">-модульной угольной котельной, 4-мя современными уличными игровыми и спортивными площадками с искусственным газонным покрытием, благоустроенной территорией с озеленением, а также необходимыми мерами безопасности. По окончании лицензирования в августе 2022 года детский ясли-сад заработал на полную мощность. Стоимость проекта, включая оборудование, составила 185 млн. руб., в </w:t>
      </w:r>
      <w:proofErr w:type="spellStart"/>
      <w:r w:rsidRPr="0044361F">
        <w:rPr>
          <w:rFonts w:ascii="Times New Roman" w:hAnsi="Times New Roman" w:cs="Times New Roman"/>
          <w:sz w:val="28"/>
          <w:szCs w:val="28"/>
        </w:rPr>
        <w:t>т.ч</w:t>
      </w:r>
      <w:proofErr w:type="spellEnd"/>
      <w:r w:rsidRPr="0044361F">
        <w:rPr>
          <w:rFonts w:ascii="Times New Roman" w:hAnsi="Times New Roman" w:cs="Times New Roman"/>
          <w:sz w:val="28"/>
          <w:szCs w:val="28"/>
        </w:rPr>
        <w:t>. 116 млн. руб. средства федерального бюджета, 68 млн. руб. – средства краевого бюджета, 3 млн. руб. – средства районного бюджета.</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t xml:space="preserve">За счет бюджетных средств в 2023 году в рамках реализации мероприятий государственной программы Алтайского края «Создание условий для устойчивого исполнения бюджетов муниципальных образований и повышения эффективности бюджетных расходов в Алтайском крае» (проекты поддержки местных инициатив) 10 сельских поселений реализовали свои инициативы на сумму 15,6 млн. руб., из них 3,6 млн. руб. из муниципального бюджета, 795 тыс. руб. внесли граждане, 414 тыс. руб. - юридические лица. </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lastRenderedPageBreak/>
        <w:t xml:space="preserve">Обустроены 2 спортплощадки в селах Песчаное и </w:t>
      </w:r>
      <w:proofErr w:type="spellStart"/>
      <w:r w:rsidRPr="00960D79">
        <w:rPr>
          <w:rFonts w:ascii="Times New Roman" w:hAnsi="Times New Roman" w:cs="Times New Roman"/>
          <w:sz w:val="28"/>
          <w:szCs w:val="28"/>
        </w:rPr>
        <w:t>Хабазино</w:t>
      </w:r>
      <w:proofErr w:type="spellEnd"/>
      <w:r w:rsidRPr="00960D79">
        <w:rPr>
          <w:rFonts w:ascii="Times New Roman" w:hAnsi="Times New Roman" w:cs="Times New Roman"/>
          <w:sz w:val="28"/>
          <w:szCs w:val="28"/>
        </w:rPr>
        <w:t xml:space="preserve">. Появились новые детские площадки в с. Топчиха, с. </w:t>
      </w:r>
      <w:proofErr w:type="spellStart"/>
      <w:r w:rsidRPr="00960D79">
        <w:rPr>
          <w:rFonts w:ascii="Times New Roman" w:hAnsi="Times New Roman" w:cs="Times New Roman"/>
          <w:sz w:val="28"/>
          <w:szCs w:val="28"/>
        </w:rPr>
        <w:t>Чаузово</w:t>
      </w:r>
      <w:proofErr w:type="spellEnd"/>
      <w:r w:rsidRPr="00960D79">
        <w:rPr>
          <w:rFonts w:ascii="Times New Roman" w:hAnsi="Times New Roman" w:cs="Times New Roman"/>
          <w:sz w:val="28"/>
          <w:szCs w:val="28"/>
        </w:rPr>
        <w:t xml:space="preserve">, п. Труд, отремонтирована дорога в п. Кировский, обустроена площадь со сценической площадкой в </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t xml:space="preserve">с. </w:t>
      </w:r>
      <w:proofErr w:type="spellStart"/>
      <w:r w:rsidRPr="00960D79">
        <w:rPr>
          <w:rFonts w:ascii="Times New Roman" w:hAnsi="Times New Roman" w:cs="Times New Roman"/>
          <w:sz w:val="28"/>
          <w:szCs w:val="28"/>
        </w:rPr>
        <w:t>Белояровка</w:t>
      </w:r>
      <w:proofErr w:type="spellEnd"/>
      <w:r w:rsidRPr="00960D79">
        <w:rPr>
          <w:rFonts w:ascii="Times New Roman" w:hAnsi="Times New Roman" w:cs="Times New Roman"/>
          <w:sz w:val="28"/>
          <w:szCs w:val="28"/>
        </w:rPr>
        <w:t>, продолжено благоустройство сельского парка в с. Фунтики.</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t xml:space="preserve">За 6 лет участия в ППМИ удалось реализовать 48 проектов. Оборудованы 4 детско-спортивные, 15 спортивных, 15 детских площадок, проведен ремонт участков дорог в 3 селах, </w:t>
      </w:r>
      <w:proofErr w:type="spellStart"/>
      <w:r w:rsidRPr="00960D79">
        <w:rPr>
          <w:rFonts w:ascii="Times New Roman" w:hAnsi="Times New Roman" w:cs="Times New Roman"/>
          <w:sz w:val="28"/>
          <w:szCs w:val="28"/>
        </w:rPr>
        <w:t>отремонтрован</w:t>
      </w:r>
      <w:proofErr w:type="spellEnd"/>
      <w:r w:rsidRPr="00960D79">
        <w:rPr>
          <w:rFonts w:ascii="Times New Roman" w:hAnsi="Times New Roman" w:cs="Times New Roman"/>
          <w:sz w:val="28"/>
          <w:szCs w:val="28"/>
        </w:rPr>
        <w:t xml:space="preserve"> 1 памятник, благоустроены площадь и парк, обновлены ограждения 8 кладбищ. На 2024 год планируется к реализации еще 4 проекта.</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t xml:space="preserve">В рамках региональной программы «Формирование комфортной городской среды» обустроен сельский парк в с. </w:t>
      </w:r>
      <w:proofErr w:type="spellStart"/>
      <w:r w:rsidRPr="00960D79">
        <w:rPr>
          <w:rFonts w:ascii="Times New Roman" w:hAnsi="Times New Roman" w:cs="Times New Roman"/>
          <w:sz w:val="28"/>
          <w:szCs w:val="28"/>
        </w:rPr>
        <w:t>Парфёново</w:t>
      </w:r>
      <w:proofErr w:type="spellEnd"/>
      <w:r w:rsidRPr="00960D79">
        <w:rPr>
          <w:rFonts w:ascii="Times New Roman" w:hAnsi="Times New Roman" w:cs="Times New Roman"/>
          <w:sz w:val="28"/>
          <w:szCs w:val="28"/>
        </w:rPr>
        <w:t xml:space="preserve"> на территории, прилегающей к зданию обновленного сельского Дома культуры. На эти цели выделено 3,338 млн. руб., в </w:t>
      </w:r>
      <w:proofErr w:type="spellStart"/>
      <w:r w:rsidRPr="00960D79">
        <w:rPr>
          <w:rFonts w:ascii="Times New Roman" w:hAnsi="Times New Roman" w:cs="Times New Roman"/>
          <w:sz w:val="28"/>
          <w:szCs w:val="28"/>
        </w:rPr>
        <w:t>т.ч</w:t>
      </w:r>
      <w:proofErr w:type="spellEnd"/>
      <w:r w:rsidRPr="00960D79">
        <w:rPr>
          <w:rFonts w:ascii="Times New Roman" w:hAnsi="Times New Roman" w:cs="Times New Roman"/>
          <w:sz w:val="28"/>
          <w:szCs w:val="28"/>
        </w:rPr>
        <w:t xml:space="preserve">. 3 млн. руб. краевая субсидия. Асфальтированная пешеходная зона соединила территории сельского клуба, детской площадки, зоны отдыха. </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t xml:space="preserve">В 2024 году участником этой программы второй раз стал </w:t>
      </w:r>
      <w:proofErr w:type="spellStart"/>
      <w:r w:rsidRPr="00960D79">
        <w:rPr>
          <w:rFonts w:ascii="Times New Roman" w:hAnsi="Times New Roman" w:cs="Times New Roman"/>
          <w:sz w:val="28"/>
          <w:szCs w:val="28"/>
        </w:rPr>
        <w:t>Фунтиковский</w:t>
      </w:r>
      <w:proofErr w:type="spellEnd"/>
      <w:r w:rsidRPr="00960D79">
        <w:rPr>
          <w:rFonts w:ascii="Times New Roman" w:hAnsi="Times New Roman" w:cs="Times New Roman"/>
          <w:sz w:val="28"/>
          <w:szCs w:val="28"/>
        </w:rPr>
        <w:t xml:space="preserve"> сельсовет. Предстоит продолжить благоустройство сельского парка (2 очередь) в комплексе с программой ремонта мемориала участникам Великой Отечественной войны. </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t xml:space="preserve">В 2023 году продолжено строительство на территории райцентра новой угольной автоматизированной котельной, выполнена реконструкция теплосети в с. Топчиха, протяженностью 2,67 км, соединяющей новую котельную с магистральной сетью, выполнены работы по капитальному ремонту водозаборных узлов с установкой водонапорных башен в </w:t>
      </w:r>
      <w:proofErr w:type="spellStart"/>
      <w:r w:rsidRPr="00960D79">
        <w:rPr>
          <w:rFonts w:ascii="Times New Roman" w:hAnsi="Times New Roman" w:cs="Times New Roman"/>
          <w:sz w:val="28"/>
          <w:szCs w:val="28"/>
        </w:rPr>
        <w:t>с.Красноярка</w:t>
      </w:r>
      <w:proofErr w:type="spellEnd"/>
      <w:r w:rsidRPr="00960D79">
        <w:rPr>
          <w:rFonts w:ascii="Times New Roman" w:hAnsi="Times New Roman" w:cs="Times New Roman"/>
          <w:sz w:val="28"/>
          <w:szCs w:val="28"/>
        </w:rPr>
        <w:t xml:space="preserve"> и </w:t>
      </w:r>
      <w:proofErr w:type="spellStart"/>
      <w:r w:rsidRPr="00960D79">
        <w:rPr>
          <w:rFonts w:ascii="Times New Roman" w:hAnsi="Times New Roman" w:cs="Times New Roman"/>
          <w:sz w:val="28"/>
          <w:szCs w:val="28"/>
        </w:rPr>
        <w:t>с.Покровка</w:t>
      </w:r>
      <w:proofErr w:type="spellEnd"/>
      <w:r w:rsidRPr="00960D79">
        <w:rPr>
          <w:rFonts w:ascii="Times New Roman" w:hAnsi="Times New Roman" w:cs="Times New Roman"/>
          <w:sz w:val="28"/>
          <w:szCs w:val="28"/>
        </w:rPr>
        <w:t xml:space="preserve">, скважин в с. </w:t>
      </w:r>
      <w:proofErr w:type="spellStart"/>
      <w:r w:rsidRPr="00960D79">
        <w:rPr>
          <w:rFonts w:ascii="Times New Roman" w:hAnsi="Times New Roman" w:cs="Times New Roman"/>
          <w:sz w:val="28"/>
          <w:szCs w:val="28"/>
        </w:rPr>
        <w:t>Чистюнька</w:t>
      </w:r>
      <w:proofErr w:type="spellEnd"/>
      <w:r w:rsidRPr="00960D79">
        <w:rPr>
          <w:rFonts w:ascii="Times New Roman" w:hAnsi="Times New Roman" w:cs="Times New Roman"/>
          <w:sz w:val="28"/>
          <w:szCs w:val="28"/>
        </w:rPr>
        <w:t xml:space="preserve">, с. Фунтики, завершена реконструкция водопроводных сетей и сооружений в с. </w:t>
      </w:r>
      <w:proofErr w:type="spellStart"/>
      <w:r w:rsidRPr="00960D79">
        <w:rPr>
          <w:rFonts w:ascii="Times New Roman" w:hAnsi="Times New Roman" w:cs="Times New Roman"/>
          <w:sz w:val="28"/>
          <w:szCs w:val="28"/>
        </w:rPr>
        <w:t>Парфёново</w:t>
      </w:r>
      <w:proofErr w:type="spellEnd"/>
      <w:r w:rsidRPr="00960D79">
        <w:rPr>
          <w:rFonts w:ascii="Times New Roman" w:hAnsi="Times New Roman" w:cs="Times New Roman"/>
          <w:sz w:val="28"/>
          <w:szCs w:val="28"/>
        </w:rPr>
        <w:t xml:space="preserve">, протяженность сетей 17,2 км, выполнено бурение двух новых скважин, установлена водонапорная башня. Направлены заявки на включение в региональную программу модернизации коммунальной инфраструктуры проектов реконструкции водопроводных сетей и сооружений в с. </w:t>
      </w:r>
      <w:proofErr w:type="spellStart"/>
      <w:r w:rsidRPr="00960D79">
        <w:rPr>
          <w:rFonts w:ascii="Times New Roman" w:hAnsi="Times New Roman" w:cs="Times New Roman"/>
          <w:sz w:val="28"/>
          <w:szCs w:val="28"/>
        </w:rPr>
        <w:t>Чистюнька</w:t>
      </w:r>
      <w:proofErr w:type="spellEnd"/>
      <w:r w:rsidRPr="00960D79">
        <w:rPr>
          <w:rFonts w:ascii="Times New Roman" w:hAnsi="Times New Roman" w:cs="Times New Roman"/>
          <w:sz w:val="28"/>
          <w:szCs w:val="28"/>
        </w:rPr>
        <w:t xml:space="preserve">, и в с. Топчиха. </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t>Завершено проектирование объекта «Топчихинский район, с. Топчиха, строительство средней общеобразовательной школы на 550 учащихся» проектным институтом «</w:t>
      </w:r>
      <w:proofErr w:type="spellStart"/>
      <w:r w:rsidRPr="00960D79">
        <w:rPr>
          <w:rFonts w:ascii="Times New Roman" w:hAnsi="Times New Roman" w:cs="Times New Roman"/>
          <w:sz w:val="28"/>
          <w:szCs w:val="28"/>
        </w:rPr>
        <w:t>Алтайгражданпроект</w:t>
      </w:r>
      <w:proofErr w:type="spellEnd"/>
      <w:r w:rsidRPr="00960D79">
        <w:rPr>
          <w:rFonts w:ascii="Times New Roman" w:hAnsi="Times New Roman" w:cs="Times New Roman"/>
          <w:sz w:val="28"/>
          <w:szCs w:val="28"/>
        </w:rPr>
        <w:t xml:space="preserve">», проект проходит государственную экспертизу. Стоимость проектных работ 11,213 млн. </w:t>
      </w:r>
      <w:proofErr w:type="spellStart"/>
      <w:r w:rsidRPr="00960D79">
        <w:rPr>
          <w:rFonts w:ascii="Times New Roman" w:hAnsi="Times New Roman" w:cs="Times New Roman"/>
          <w:sz w:val="28"/>
          <w:szCs w:val="28"/>
        </w:rPr>
        <w:t>руб</w:t>
      </w:r>
      <w:proofErr w:type="spellEnd"/>
      <w:r w:rsidRPr="00960D79">
        <w:rPr>
          <w:rFonts w:ascii="Times New Roman" w:hAnsi="Times New Roman" w:cs="Times New Roman"/>
          <w:sz w:val="28"/>
          <w:szCs w:val="28"/>
        </w:rPr>
        <w:t xml:space="preserve">, Стоимость </w:t>
      </w:r>
      <w:proofErr w:type="spellStart"/>
      <w:r w:rsidRPr="00960D79">
        <w:rPr>
          <w:rFonts w:ascii="Times New Roman" w:hAnsi="Times New Roman" w:cs="Times New Roman"/>
          <w:sz w:val="28"/>
          <w:szCs w:val="28"/>
        </w:rPr>
        <w:t>госэкспертизы</w:t>
      </w:r>
      <w:proofErr w:type="spellEnd"/>
      <w:r w:rsidRPr="00960D79">
        <w:rPr>
          <w:rFonts w:ascii="Times New Roman" w:hAnsi="Times New Roman" w:cs="Times New Roman"/>
          <w:sz w:val="28"/>
          <w:szCs w:val="28"/>
        </w:rPr>
        <w:t xml:space="preserve"> 1, 512 млн. руб. Общая стоимость строительства школы до экспертизы 1 млн. 628 млн 927 тыс. руб. На проектирование выделены средства из краевого бюджета.</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t xml:space="preserve">Следующий </w:t>
      </w:r>
      <w:proofErr w:type="gramStart"/>
      <w:r w:rsidRPr="00960D79">
        <w:rPr>
          <w:rFonts w:ascii="Times New Roman" w:hAnsi="Times New Roman" w:cs="Times New Roman"/>
          <w:sz w:val="28"/>
          <w:szCs w:val="28"/>
        </w:rPr>
        <w:t>масштабный  проект</w:t>
      </w:r>
      <w:proofErr w:type="gramEnd"/>
      <w:r w:rsidRPr="00960D79">
        <w:rPr>
          <w:rFonts w:ascii="Times New Roman" w:hAnsi="Times New Roman" w:cs="Times New Roman"/>
          <w:sz w:val="28"/>
          <w:szCs w:val="28"/>
        </w:rPr>
        <w:t xml:space="preserve"> для района – газификация находится</w:t>
      </w:r>
      <w:r>
        <w:rPr>
          <w:rFonts w:ascii="Times New Roman" w:hAnsi="Times New Roman" w:cs="Times New Roman"/>
          <w:sz w:val="28"/>
          <w:szCs w:val="28"/>
        </w:rPr>
        <w:t xml:space="preserve">  </w:t>
      </w:r>
      <w:r w:rsidRPr="00960D79">
        <w:rPr>
          <w:rFonts w:ascii="Times New Roman" w:hAnsi="Times New Roman" w:cs="Times New Roman"/>
          <w:sz w:val="28"/>
          <w:szCs w:val="28"/>
        </w:rPr>
        <w:t xml:space="preserve">в активной фазе. В 2021 Топчихинский район стал участником региональной программы газификации, в рамках которой запланировано строительство газопровода от с. Калманка до с. Топчиха. В настоящее время уже определен подрядчик для выполнения работ по строительству, выполнена разбивка трассы, идет подготовка к строительству. После завершения строительства данного газопровода, которое запланировано на 2025 год, будет определена перспектива строительства газопровода до других населенных пунктов района. </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lastRenderedPageBreak/>
        <w:t>Проектной организацией «Альфа-проект» разработан проект «Распределительный газопровод в с. Топчиха Топчихинского района Алтайского края», получено положительное заключение государственной экспертизы, строительство планируется начать в 2025 году.</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t>В 2024 г получено положительное заключение государственной экспертизы по проекту строительства объекта «Газовая котельная по                       ул. Партизанская в с. Топчиха Топчихинского района Алтайского края». Строительство газовой котельной планируется в 2024-2025 гг. Стоимость строительно-монтажных работ 23 млн. руб.</w:t>
      </w:r>
    </w:p>
    <w:p w:rsidR="00960D79" w:rsidRPr="00960D79" w:rsidRDefault="00960D79" w:rsidP="00960D79">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t xml:space="preserve">Во избежание подтопления с. </w:t>
      </w:r>
      <w:proofErr w:type="spellStart"/>
      <w:r w:rsidRPr="00960D79">
        <w:rPr>
          <w:rFonts w:ascii="Times New Roman" w:hAnsi="Times New Roman" w:cs="Times New Roman"/>
          <w:sz w:val="28"/>
          <w:szCs w:val="28"/>
        </w:rPr>
        <w:t>Чаузово</w:t>
      </w:r>
      <w:proofErr w:type="spellEnd"/>
      <w:r w:rsidRPr="00960D79">
        <w:rPr>
          <w:rFonts w:ascii="Times New Roman" w:hAnsi="Times New Roman" w:cs="Times New Roman"/>
          <w:sz w:val="28"/>
          <w:szCs w:val="28"/>
        </w:rPr>
        <w:t xml:space="preserve"> Администрацией района проведена работа по разработке обосновывающих материалов, сметной документации по объекту: «Регулирование русла р. Большая Речка в с. </w:t>
      </w:r>
      <w:proofErr w:type="spellStart"/>
      <w:r w:rsidRPr="00960D79">
        <w:rPr>
          <w:rFonts w:ascii="Times New Roman" w:hAnsi="Times New Roman" w:cs="Times New Roman"/>
          <w:sz w:val="28"/>
          <w:szCs w:val="28"/>
        </w:rPr>
        <w:t>Чаузово</w:t>
      </w:r>
      <w:proofErr w:type="spellEnd"/>
      <w:r w:rsidRPr="00960D79">
        <w:rPr>
          <w:rFonts w:ascii="Times New Roman" w:hAnsi="Times New Roman" w:cs="Times New Roman"/>
          <w:sz w:val="28"/>
          <w:szCs w:val="28"/>
        </w:rPr>
        <w:t xml:space="preserve"> Топчихинского района Алтайского края». В рамках реализации данного проекта предполагается строительство спрямляющего канала реки. Стоимость строительства составляет 2951,19 тыс. руб.  Имеется положительное заключение проверки достоверности определения сметной стоимости объекта строительства. Администрацией района направлено ходатайство в Минприроды Алтайского края о выделении средств на строительство спрямляющего канала реки.</w:t>
      </w:r>
    </w:p>
    <w:p w:rsidR="00960D79" w:rsidRDefault="00960D79" w:rsidP="0044361F">
      <w:pPr>
        <w:spacing w:after="0" w:line="240" w:lineRule="auto"/>
        <w:ind w:firstLine="709"/>
        <w:jc w:val="both"/>
        <w:rPr>
          <w:rFonts w:ascii="Times New Roman" w:hAnsi="Times New Roman" w:cs="Times New Roman"/>
          <w:sz w:val="28"/>
          <w:szCs w:val="28"/>
        </w:rPr>
      </w:pPr>
      <w:r w:rsidRPr="00960D79">
        <w:rPr>
          <w:rFonts w:ascii="Times New Roman" w:hAnsi="Times New Roman" w:cs="Times New Roman"/>
          <w:sz w:val="28"/>
          <w:szCs w:val="28"/>
        </w:rPr>
        <w:t xml:space="preserve">В 2024 году в рамках реализации национальных проектов планируется выполнить строительство подъездов к молочно-товарной ферме ОАО «Раздольное» (2 подъезда), примыкающих к автомобильной дороге «Подъезд к пос. Кировский», строительство двух </w:t>
      </w:r>
      <w:proofErr w:type="spellStart"/>
      <w:r w:rsidRPr="00960D79">
        <w:rPr>
          <w:rFonts w:ascii="Times New Roman" w:hAnsi="Times New Roman" w:cs="Times New Roman"/>
          <w:sz w:val="28"/>
          <w:szCs w:val="28"/>
        </w:rPr>
        <w:t>ФАПов</w:t>
      </w:r>
      <w:proofErr w:type="spellEnd"/>
      <w:r w:rsidRPr="00960D79">
        <w:rPr>
          <w:rFonts w:ascii="Times New Roman" w:hAnsi="Times New Roman" w:cs="Times New Roman"/>
          <w:sz w:val="28"/>
          <w:szCs w:val="28"/>
        </w:rPr>
        <w:t xml:space="preserve"> КГБУЗ «</w:t>
      </w:r>
      <w:proofErr w:type="spellStart"/>
      <w:r w:rsidRPr="00960D79">
        <w:rPr>
          <w:rFonts w:ascii="Times New Roman" w:hAnsi="Times New Roman" w:cs="Times New Roman"/>
          <w:sz w:val="28"/>
          <w:szCs w:val="28"/>
        </w:rPr>
        <w:t>Топчихинская</w:t>
      </w:r>
      <w:proofErr w:type="spellEnd"/>
      <w:r w:rsidRPr="00960D79">
        <w:rPr>
          <w:rFonts w:ascii="Times New Roman" w:hAnsi="Times New Roman" w:cs="Times New Roman"/>
          <w:sz w:val="28"/>
          <w:szCs w:val="28"/>
        </w:rPr>
        <w:t xml:space="preserve"> ЦРБ» в с. Фунтики и п. Ключи.</w:t>
      </w:r>
    </w:p>
    <w:p w:rsidR="006A4F8C" w:rsidRPr="006A4F8C" w:rsidRDefault="00EE116A" w:rsidP="00FF6886">
      <w:pPr>
        <w:spacing w:after="0" w:line="240" w:lineRule="auto"/>
        <w:ind w:firstLine="567"/>
        <w:jc w:val="both"/>
        <w:rPr>
          <w:rFonts w:ascii="Times New Roman" w:eastAsia="Times New Roman" w:hAnsi="Times New Roman" w:cs="Times New Roman"/>
          <w:sz w:val="28"/>
          <w:szCs w:val="28"/>
        </w:rPr>
      </w:pPr>
      <w:r w:rsidRPr="006A4F8C">
        <w:rPr>
          <w:rFonts w:ascii="Times New Roman" w:eastAsia="Times New Roman" w:hAnsi="Times New Roman" w:cs="Times New Roman"/>
          <w:sz w:val="28"/>
          <w:szCs w:val="28"/>
        </w:rPr>
        <w:t>В рамках реализации мероприятий муниципальной программы «Комплексное развитие сельских территорий Топчихинского</w:t>
      </w:r>
      <w:r w:rsidR="006A3EB1" w:rsidRPr="006A4F8C">
        <w:rPr>
          <w:rFonts w:ascii="Times New Roman" w:eastAsia="Times New Roman" w:hAnsi="Times New Roman" w:cs="Times New Roman"/>
          <w:sz w:val="28"/>
          <w:szCs w:val="28"/>
        </w:rPr>
        <w:t xml:space="preserve"> района Алтайского края» в 202</w:t>
      </w:r>
      <w:r w:rsidR="00960D79" w:rsidRPr="006A4F8C">
        <w:rPr>
          <w:rFonts w:ascii="Times New Roman" w:eastAsia="Times New Roman" w:hAnsi="Times New Roman" w:cs="Times New Roman"/>
          <w:sz w:val="28"/>
          <w:szCs w:val="28"/>
        </w:rPr>
        <w:t>3</w:t>
      </w:r>
      <w:r w:rsidR="006A3EB1" w:rsidRPr="006A4F8C">
        <w:rPr>
          <w:rFonts w:ascii="Times New Roman" w:eastAsia="Times New Roman" w:hAnsi="Times New Roman" w:cs="Times New Roman"/>
          <w:sz w:val="28"/>
          <w:szCs w:val="28"/>
        </w:rPr>
        <w:t xml:space="preserve"> проведено благоустройство кладбища в с. </w:t>
      </w:r>
      <w:proofErr w:type="spellStart"/>
      <w:r w:rsidR="006A4F8C" w:rsidRPr="006A4F8C">
        <w:rPr>
          <w:rFonts w:ascii="Times New Roman" w:eastAsia="Times New Roman" w:hAnsi="Times New Roman" w:cs="Times New Roman"/>
          <w:sz w:val="28"/>
          <w:szCs w:val="28"/>
        </w:rPr>
        <w:t>Зимино</w:t>
      </w:r>
      <w:proofErr w:type="spellEnd"/>
      <w:r w:rsidR="00880C70" w:rsidRPr="006A4F8C">
        <w:rPr>
          <w:rFonts w:ascii="Times New Roman" w:eastAsia="Times New Roman" w:hAnsi="Times New Roman" w:cs="Times New Roman"/>
          <w:sz w:val="28"/>
          <w:szCs w:val="28"/>
        </w:rPr>
        <w:t xml:space="preserve"> (</w:t>
      </w:r>
      <w:r w:rsidR="006A3EB1" w:rsidRPr="006A4F8C">
        <w:rPr>
          <w:rFonts w:ascii="Times New Roman" w:eastAsia="Times New Roman" w:hAnsi="Times New Roman" w:cs="Times New Roman"/>
          <w:sz w:val="28"/>
          <w:szCs w:val="28"/>
        </w:rPr>
        <w:t>освоено всего 1</w:t>
      </w:r>
      <w:r w:rsidR="006A4F8C" w:rsidRPr="006A4F8C">
        <w:rPr>
          <w:rFonts w:ascii="Times New Roman" w:eastAsia="Times New Roman" w:hAnsi="Times New Roman" w:cs="Times New Roman"/>
          <w:sz w:val="28"/>
          <w:szCs w:val="28"/>
        </w:rPr>
        <w:t>549,625</w:t>
      </w:r>
      <w:r w:rsidR="006A3EB1" w:rsidRPr="006A4F8C">
        <w:rPr>
          <w:rFonts w:ascii="Times New Roman" w:eastAsia="Times New Roman" w:hAnsi="Times New Roman" w:cs="Times New Roman"/>
          <w:sz w:val="28"/>
          <w:szCs w:val="28"/>
        </w:rPr>
        <w:t xml:space="preserve"> тыс. руб. бюджетных средств, в </w:t>
      </w:r>
      <w:proofErr w:type="spellStart"/>
      <w:r w:rsidR="006A3EB1" w:rsidRPr="006A4F8C">
        <w:rPr>
          <w:rFonts w:ascii="Times New Roman" w:eastAsia="Times New Roman" w:hAnsi="Times New Roman" w:cs="Times New Roman"/>
          <w:sz w:val="28"/>
          <w:szCs w:val="28"/>
        </w:rPr>
        <w:t>т.ч</w:t>
      </w:r>
      <w:proofErr w:type="spellEnd"/>
      <w:r w:rsidR="006A3EB1" w:rsidRPr="006A4F8C">
        <w:rPr>
          <w:rFonts w:ascii="Times New Roman" w:eastAsia="Times New Roman" w:hAnsi="Times New Roman" w:cs="Times New Roman"/>
          <w:sz w:val="28"/>
          <w:szCs w:val="28"/>
        </w:rPr>
        <w:t xml:space="preserve">. средства КБ- </w:t>
      </w:r>
      <w:r w:rsidR="00E436D5" w:rsidRPr="006A4F8C">
        <w:rPr>
          <w:rFonts w:ascii="Times New Roman" w:eastAsia="Times New Roman" w:hAnsi="Times New Roman" w:cs="Times New Roman"/>
          <w:sz w:val="28"/>
          <w:szCs w:val="28"/>
        </w:rPr>
        <w:t>12</w:t>
      </w:r>
      <w:r w:rsidR="006A4F8C" w:rsidRPr="006A4F8C">
        <w:rPr>
          <w:rFonts w:ascii="Times New Roman" w:eastAsia="Times New Roman" w:hAnsi="Times New Roman" w:cs="Times New Roman"/>
          <w:sz w:val="28"/>
          <w:szCs w:val="28"/>
        </w:rPr>
        <w:t>77,125</w:t>
      </w:r>
      <w:r w:rsidR="00E436D5" w:rsidRPr="006A4F8C">
        <w:rPr>
          <w:rFonts w:ascii="Times New Roman" w:eastAsia="Times New Roman" w:hAnsi="Times New Roman" w:cs="Times New Roman"/>
          <w:sz w:val="28"/>
          <w:szCs w:val="28"/>
        </w:rPr>
        <w:t xml:space="preserve"> </w:t>
      </w:r>
      <w:r w:rsidR="006A3EB1" w:rsidRPr="006A4F8C">
        <w:rPr>
          <w:rFonts w:ascii="Times New Roman" w:eastAsia="Times New Roman" w:hAnsi="Times New Roman" w:cs="Times New Roman"/>
          <w:sz w:val="28"/>
          <w:szCs w:val="28"/>
        </w:rPr>
        <w:t xml:space="preserve">тыс. руб., РБ – </w:t>
      </w:r>
      <w:r w:rsidR="006A4F8C" w:rsidRPr="006A4F8C">
        <w:rPr>
          <w:rFonts w:ascii="Times New Roman" w:eastAsia="Times New Roman" w:hAnsi="Times New Roman" w:cs="Times New Roman"/>
          <w:sz w:val="28"/>
          <w:szCs w:val="28"/>
        </w:rPr>
        <w:t>272,5</w:t>
      </w:r>
      <w:r w:rsidR="00E436D5" w:rsidRPr="006A4F8C">
        <w:rPr>
          <w:rFonts w:ascii="Times New Roman" w:eastAsia="Times New Roman" w:hAnsi="Times New Roman" w:cs="Times New Roman"/>
          <w:sz w:val="28"/>
          <w:szCs w:val="28"/>
        </w:rPr>
        <w:t xml:space="preserve"> тыс. руб.</w:t>
      </w:r>
      <w:r w:rsidR="00880C70" w:rsidRPr="006A4F8C">
        <w:rPr>
          <w:rFonts w:ascii="Times New Roman" w:eastAsia="Times New Roman" w:hAnsi="Times New Roman" w:cs="Times New Roman"/>
          <w:sz w:val="28"/>
          <w:szCs w:val="28"/>
        </w:rPr>
        <w:t>)</w:t>
      </w:r>
      <w:r w:rsidR="006A3EB1" w:rsidRPr="006A4F8C">
        <w:rPr>
          <w:rFonts w:ascii="Times New Roman" w:eastAsia="Times New Roman" w:hAnsi="Times New Roman" w:cs="Times New Roman"/>
          <w:sz w:val="28"/>
          <w:szCs w:val="28"/>
        </w:rPr>
        <w:t xml:space="preserve">, в </w:t>
      </w:r>
      <w:r w:rsidR="006A4F8C" w:rsidRPr="006A4F8C">
        <w:rPr>
          <w:rFonts w:ascii="Times New Roman" w:eastAsia="Times New Roman" w:hAnsi="Times New Roman" w:cs="Times New Roman"/>
          <w:sz w:val="28"/>
          <w:szCs w:val="28"/>
        </w:rPr>
        <w:t>с. Михайловка</w:t>
      </w:r>
      <w:r w:rsidR="00880C70" w:rsidRPr="006A4F8C">
        <w:rPr>
          <w:rFonts w:ascii="Times New Roman" w:eastAsia="Times New Roman" w:hAnsi="Times New Roman" w:cs="Times New Roman"/>
          <w:sz w:val="28"/>
          <w:szCs w:val="28"/>
        </w:rPr>
        <w:t xml:space="preserve"> (</w:t>
      </w:r>
      <w:r w:rsidR="006A3EB1" w:rsidRPr="006A4F8C">
        <w:rPr>
          <w:rFonts w:ascii="Times New Roman" w:eastAsia="Times New Roman" w:hAnsi="Times New Roman" w:cs="Times New Roman"/>
          <w:sz w:val="28"/>
          <w:szCs w:val="28"/>
        </w:rPr>
        <w:t>освоено всего 1</w:t>
      </w:r>
      <w:r w:rsidR="006A4F8C" w:rsidRPr="006A4F8C">
        <w:rPr>
          <w:rFonts w:ascii="Times New Roman" w:eastAsia="Times New Roman" w:hAnsi="Times New Roman" w:cs="Times New Roman"/>
          <w:sz w:val="28"/>
          <w:szCs w:val="28"/>
        </w:rPr>
        <w:t>434,046</w:t>
      </w:r>
      <w:r w:rsidR="006A3EB1" w:rsidRPr="006A4F8C">
        <w:rPr>
          <w:rFonts w:ascii="Times New Roman" w:eastAsia="Times New Roman" w:hAnsi="Times New Roman" w:cs="Times New Roman"/>
          <w:sz w:val="28"/>
          <w:szCs w:val="28"/>
        </w:rPr>
        <w:t xml:space="preserve"> тыс. руб. бюджетных средств, в </w:t>
      </w:r>
      <w:proofErr w:type="spellStart"/>
      <w:r w:rsidR="006A3EB1" w:rsidRPr="006A4F8C">
        <w:rPr>
          <w:rFonts w:ascii="Times New Roman" w:eastAsia="Times New Roman" w:hAnsi="Times New Roman" w:cs="Times New Roman"/>
          <w:sz w:val="28"/>
          <w:szCs w:val="28"/>
        </w:rPr>
        <w:t>т.ч</w:t>
      </w:r>
      <w:proofErr w:type="spellEnd"/>
      <w:r w:rsidR="006A3EB1" w:rsidRPr="006A4F8C">
        <w:rPr>
          <w:rFonts w:ascii="Times New Roman" w:eastAsia="Times New Roman" w:hAnsi="Times New Roman" w:cs="Times New Roman"/>
          <w:sz w:val="28"/>
          <w:szCs w:val="28"/>
        </w:rPr>
        <w:t>. средства КБ</w:t>
      </w:r>
      <w:r w:rsidR="00B35C1B" w:rsidRPr="006A4F8C">
        <w:rPr>
          <w:rFonts w:ascii="Times New Roman" w:eastAsia="Times New Roman" w:hAnsi="Times New Roman" w:cs="Times New Roman"/>
          <w:sz w:val="28"/>
          <w:szCs w:val="28"/>
        </w:rPr>
        <w:t xml:space="preserve"> </w:t>
      </w:r>
      <w:r w:rsidR="006A3EB1" w:rsidRPr="006A4F8C">
        <w:rPr>
          <w:rFonts w:ascii="Times New Roman" w:eastAsia="Times New Roman" w:hAnsi="Times New Roman" w:cs="Times New Roman"/>
          <w:sz w:val="28"/>
          <w:szCs w:val="28"/>
        </w:rPr>
        <w:t>- 1</w:t>
      </w:r>
      <w:r w:rsidR="006A4F8C" w:rsidRPr="006A4F8C">
        <w:rPr>
          <w:rFonts w:ascii="Times New Roman" w:eastAsia="Times New Roman" w:hAnsi="Times New Roman" w:cs="Times New Roman"/>
          <w:sz w:val="28"/>
          <w:szCs w:val="28"/>
        </w:rPr>
        <w:t xml:space="preserve">203,641 </w:t>
      </w:r>
      <w:r w:rsidR="006A3EB1" w:rsidRPr="006A4F8C">
        <w:rPr>
          <w:rFonts w:ascii="Times New Roman" w:eastAsia="Times New Roman" w:hAnsi="Times New Roman" w:cs="Times New Roman"/>
          <w:sz w:val="28"/>
          <w:szCs w:val="28"/>
        </w:rPr>
        <w:t xml:space="preserve">тыс. руб., РБ </w:t>
      </w:r>
      <w:r w:rsidR="006A4F8C" w:rsidRPr="006A4F8C">
        <w:rPr>
          <w:rFonts w:ascii="Times New Roman" w:eastAsia="Times New Roman" w:hAnsi="Times New Roman" w:cs="Times New Roman"/>
          <w:sz w:val="28"/>
          <w:szCs w:val="28"/>
        </w:rPr>
        <w:t>-</w:t>
      </w:r>
      <w:r w:rsidR="006A3EB1" w:rsidRPr="006A4F8C">
        <w:rPr>
          <w:rFonts w:ascii="Times New Roman" w:eastAsia="Times New Roman" w:hAnsi="Times New Roman" w:cs="Times New Roman"/>
          <w:sz w:val="28"/>
          <w:szCs w:val="28"/>
        </w:rPr>
        <w:t xml:space="preserve"> </w:t>
      </w:r>
      <w:r w:rsidR="006A4F8C" w:rsidRPr="006A4F8C">
        <w:rPr>
          <w:rFonts w:ascii="Times New Roman" w:eastAsia="Times New Roman" w:hAnsi="Times New Roman" w:cs="Times New Roman"/>
          <w:sz w:val="28"/>
          <w:szCs w:val="28"/>
        </w:rPr>
        <w:t>230,405</w:t>
      </w:r>
      <w:r w:rsidR="00294405" w:rsidRPr="006A4F8C">
        <w:rPr>
          <w:rFonts w:ascii="Times New Roman" w:eastAsia="Times New Roman" w:hAnsi="Times New Roman" w:cs="Times New Roman"/>
          <w:sz w:val="28"/>
          <w:szCs w:val="28"/>
        </w:rPr>
        <w:t xml:space="preserve"> </w:t>
      </w:r>
      <w:r w:rsidR="006A3EB1" w:rsidRPr="006A4F8C">
        <w:rPr>
          <w:rFonts w:ascii="Times New Roman" w:eastAsia="Times New Roman" w:hAnsi="Times New Roman" w:cs="Times New Roman"/>
          <w:sz w:val="28"/>
          <w:szCs w:val="28"/>
        </w:rPr>
        <w:t>тыс. руб.</w:t>
      </w:r>
      <w:r w:rsidR="00880C70" w:rsidRPr="006A4F8C">
        <w:rPr>
          <w:rFonts w:ascii="Times New Roman" w:eastAsia="Times New Roman" w:hAnsi="Times New Roman" w:cs="Times New Roman"/>
          <w:sz w:val="28"/>
          <w:szCs w:val="28"/>
        </w:rPr>
        <w:t>)</w:t>
      </w:r>
      <w:r w:rsidR="006A4F8C" w:rsidRPr="006A4F8C">
        <w:rPr>
          <w:rFonts w:ascii="Times New Roman" w:eastAsia="Times New Roman" w:hAnsi="Times New Roman" w:cs="Times New Roman"/>
          <w:sz w:val="28"/>
          <w:szCs w:val="28"/>
        </w:rPr>
        <w:t>.</w:t>
      </w:r>
    </w:p>
    <w:p w:rsidR="00D62F85" w:rsidRPr="006A4F8C" w:rsidRDefault="00FF6886" w:rsidP="00FF6886">
      <w:pPr>
        <w:spacing w:after="0" w:line="240" w:lineRule="auto"/>
        <w:ind w:firstLine="567"/>
        <w:jc w:val="both"/>
        <w:rPr>
          <w:rFonts w:ascii="Times New Roman" w:eastAsia="Times New Roman" w:hAnsi="Times New Roman" w:cs="Times New Roman"/>
          <w:sz w:val="28"/>
          <w:szCs w:val="28"/>
        </w:rPr>
      </w:pPr>
      <w:r w:rsidRPr="006A4F8C">
        <w:rPr>
          <w:rFonts w:ascii="Times New Roman" w:eastAsia="Times New Roman" w:hAnsi="Times New Roman" w:cs="Times New Roman"/>
          <w:sz w:val="28"/>
          <w:szCs w:val="28"/>
        </w:rPr>
        <w:t xml:space="preserve">В рамках реализации </w:t>
      </w:r>
      <w:r w:rsidR="006C7516" w:rsidRPr="006A4F8C">
        <w:rPr>
          <w:rFonts w:ascii="Times New Roman" w:eastAsia="Times New Roman" w:hAnsi="Times New Roman" w:cs="Times New Roman"/>
          <w:sz w:val="28"/>
          <w:szCs w:val="28"/>
        </w:rPr>
        <w:t>мероприятия программы</w:t>
      </w:r>
      <w:r w:rsidRPr="006A4F8C">
        <w:rPr>
          <w:rFonts w:ascii="Times New Roman" w:eastAsia="Times New Roman" w:hAnsi="Times New Roman" w:cs="Times New Roman"/>
          <w:sz w:val="28"/>
          <w:szCs w:val="28"/>
        </w:rPr>
        <w:t xml:space="preserve"> «Улучшение жилищных условий проживающих на сельских территориях граждан путем строительства (приобретения) жилья с использованием социальных выплат </w:t>
      </w:r>
      <w:r w:rsidR="00880C70" w:rsidRPr="006A4F8C">
        <w:rPr>
          <w:rFonts w:ascii="Times New Roman" w:eastAsia="Times New Roman" w:hAnsi="Times New Roman" w:cs="Times New Roman"/>
          <w:sz w:val="28"/>
          <w:szCs w:val="28"/>
        </w:rPr>
        <w:t>1 семья п</w:t>
      </w:r>
      <w:r w:rsidR="006C7516" w:rsidRPr="006A4F8C">
        <w:rPr>
          <w:rFonts w:ascii="Times New Roman" w:eastAsia="Times New Roman" w:hAnsi="Times New Roman" w:cs="Times New Roman"/>
          <w:sz w:val="28"/>
          <w:szCs w:val="28"/>
        </w:rPr>
        <w:t>олучила сертификат</w:t>
      </w:r>
      <w:r w:rsidR="006A4F8C" w:rsidRPr="006A4F8C">
        <w:rPr>
          <w:rFonts w:ascii="Times New Roman" w:eastAsia="Times New Roman" w:hAnsi="Times New Roman" w:cs="Times New Roman"/>
          <w:sz w:val="28"/>
          <w:szCs w:val="28"/>
        </w:rPr>
        <w:t xml:space="preserve">, </w:t>
      </w:r>
      <w:r w:rsidRPr="006A4F8C">
        <w:rPr>
          <w:rFonts w:ascii="Times New Roman" w:eastAsia="Times New Roman" w:hAnsi="Times New Roman" w:cs="Times New Roman"/>
          <w:sz w:val="28"/>
          <w:szCs w:val="28"/>
        </w:rPr>
        <w:t xml:space="preserve">освоено всего </w:t>
      </w:r>
      <w:r w:rsidR="006A4F8C" w:rsidRPr="006A4F8C">
        <w:rPr>
          <w:rFonts w:ascii="Times New Roman" w:eastAsia="Times New Roman" w:hAnsi="Times New Roman" w:cs="Times New Roman"/>
          <w:sz w:val="28"/>
          <w:szCs w:val="28"/>
        </w:rPr>
        <w:t>2,2 млн. руб.</w:t>
      </w:r>
      <w:r w:rsidR="006A4F8C" w:rsidRPr="006A4F8C">
        <w:t xml:space="preserve"> </w:t>
      </w:r>
      <w:r w:rsidR="006A4F8C" w:rsidRPr="006A4F8C">
        <w:rPr>
          <w:rFonts w:ascii="Times New Roman" w:eastAsia="Times New Roman" w:hAnsi="Times New Roman" w:cs="Times New Roman"/>
          <w:sz w:val="28"/>
          <w:szCs w:val="28"/>
        </w:rPr>
        <w:t>из средств федерального бюджета на строительство жилого дома.</w:t>
      </w:r>
    </w:p>
    <w:sectPr w:rsidR="00D62F85" w:rsidRPr="006A4F8C" w:rsidSect="00F01D6C">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2AF" w:rsidRDefault="00D012AF" w:rsidP="00975F59">
      <w:pPr>
        <w:spacing w:after="0" w:line="240" w:lineRule="auto"/>
      </w:pPr>
      <w:r>
        <w:separator/>
      </w:r>
    </w:p>
  </w:endnote>
  <w:endnote w:type="continuationSeparator" w:id="0">
    <w:p w:rsidR="00D012AF" w:rsidRDefault="00D012AF" w:rsidP="00975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2AF" w:rsidRDefault="00D012AF" w:rsidP="00975F59">
      <w:pPr>
        <w:spacing w:after="0" w:line="240" w:lineRule="auto"/>
      </w:pPr>
      <w:r>
        <w:separator/>
      </w:r>
    </w:p>
  </w:footnote>
  <w:footnote w:type="continuationSeparator" w:id="0">
    <w:p w:rsidR="00D012AF" w:rsidRDefault="00D012AF" w:rsidP="00975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3231"/>
      <w:docPartObj>
        <w:docPartGallery w:val="Page Numbers (Top of Page)"/>
        <w:docPartUnique/>
      </w:docPartObj>
    </w:sdtPr>
    <w:sdtEndPr/>
    <w:sdtContent>
      <w:p w:rsidR="00975F59" w:rsidRDefault="0063248A">
        <w:pPr>
          <w:pStyle w:val="a3"/>
          <w:jc w:val="right"/>
        </w:pPr>
        <w:r w:rsidRPr="00975F59">
          <w:rPr>
            <w:rFonts w:ascii="Times New Roman" w:hAnsi="Times New Roman" w:cs="Times New Roman"/>
            <w:sz w:val="28"/>
            <w:szCs w:val="28"/>
          </w:rPr>
          <w:fldChar w:fldCharType="begin"/>
        </w:r>
        <w:r w:rsidR="00975F59" w:rsidRPr="00975F59">
          <w:rPr>
            <w:rFonts w:ascii="Times New Roman" w:hAnsi="Times New Roman" w:cs="Times New Roman"/>
            <w:sz w:val="28"/>
            <w:szCs w:val="28"/>
          </w:rPr>
          <w:instrText xml:space="preserve"> PAGE   \* MERGEFORMAT </w:instrText>
        </w:r>
        <w:r w:rsidRPr="00975F59">
          <w:rPr>
            <w:rFonts w:ascii="Times New Roman" w:hAnsi="Times New Roman" w:cs="Times New Roman"/>
            <w:sz w:val="28"/>
            <w:szCs w:val="28"/>
          </w:rPr>
          <w:fldChar w:fldCharType="separate"/>
        </w:r>
        <w:r w:rsidR="008D7A76">
          <w:rPr>
            <w:rFonts w:ascii="Times New Roman" w:hAnsi="Times New Roman" w:cs="Times New Roman"/>
            <w:noProof/>
            <w:sz w:val="28"/>
            <w:szCs w:val="28"/>
          </w:rPr>
          <w:t>4</w:t>
        </w:r>
        <w:r w:rsidRPr="00975F59">
          <w:rPr>
            <w:rFonts w:ascii="Times New Roman" w:hAnsi="Times New Roman" w:cs="Times New Roman"/>
            <w:sz w:val="28"/>
            <w:szCs w:val="28"/>
          </w:rPr>
          <w:fldChar w:fldCharType="end"/>
        </w:r>
      </w:p>
    </w:sdtContent>
  </w:sdt>
  <w:p w:rsidR="00975F59" w:rsidRDefault="00975F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E9"/>
    <w:rsid w:val="000005D1"/>
    <w:rsid w:val="00007D65"/>
    <w:rsid w:val="00015BD5"/>
    <w:rsid w:val="00031FE3"/>
    <w:rsid w:val="00032404"/>
    <w:rsid w:val="0003308C"/>
    <w:rsid w:val="000341C2"/>
    <w:rsid w:val="00040FC3"/>
    <w:rsid w:val="00050DF9"/>
    <w:rsid w:val="000514C9"/>
    <w:rsid w:val="0006456E"/>
    <w:rsid w:val="00085383"/>
    <w:rsid w:val="00086D60"/>
    <w:rsid w:val="0008739F"/>
    <w:rsid w:val="000877B4"/>
    <w:rsid w:val="000A452F"/>
    <w:rsid w:val="000B4536"/>
    <w:rsid w:val="000B46F3"/>
    <w:rsid w:val="000E6621"/>
    <w:rsid w:val="000F19AF"/>
    <w:rsid w:val="001051F9"/>
    <w:rsid w:val="00117380"/>
    <w:rsid w:val="00126334"/>
    <w:rsid w:val="00130F2F"/>
    <w:rsid w:val="00135B77"/>
    <w:rsid w:val="00142EB1"/>
    <w:rsid w:val="00145740"/>
    <w:rsid w:val="00155DB2"/>
    <w:rsid w:val="00157175"/>
    <w:rsid w:val="00175303"/>
    <w:rsid w:val="0018648F"/>
    <w:rsid w:val="001A226A"/>
    <w:rsid w:val="001B20D5"/>
    <w:rsid w:val="001C1FED"/>
    <w:rsid w:val="001C2475"/>
    <w:rsid w:val="001C2B31"/>
    <w:rsid w:val="001E2D52"/>
    <w:rsid w:val="001F18C1"/>
    <w:rsid w:val="0020058E"/>
    <w:rsid w:val="00202080"/>
    <w:rsid w:val="00212B88"/>
    <w:rsid w:val="00236876"/>
    <w:rsid w:val="00240F3A"/>
    <w:rsid w:val="00242743"/>
    <w:rsid w:val="00250CDF"/>
    <w:rsid w:val="00252D45"/>
    <w:rsid w:val="00260252"/>
    <w:rsid w:val="00261FBE"/>
    <w:rsid w:val="002676A6"/>
    <w:rsid w:val="00267BC5"/>
    <w:rsid w:val="002750D9"/>
    <w:rsid w:val="00277269"/>
    <w:rsid w:val="0027787D"/>
    <w:rsid w:val="00290057"/>
    <w:rsid w:val="00290CD2"/>
    <w:rsid w:val="00294405"/>
    <w:rsid w:val="00295AEA"/>
    <w:rsid w:val="002C166C"/>
    <w:rsid w:val="002C3D83"/>
    <w:rsid w:val="002D7487"/>
    <w:rsid w:val="002E1283"/>
    <w:rsid w:val="002E4275"/>
    <w:rsid w:val="003344A5"/>
    <w:rsid w:val="00334F7E"/>
    <w:rsid w:val="00335F83"/>
    <w:rsid w:val="00340134"/>
    <w:rsid w:val="0034228A"/>
    <w:rsid w:val="00346A92"/>
    <w:rsid w:val="003538DF"/>
    <w:rsid w:val="00354A5F"/>
    <w:rsid w:val="00356788"/>
    <w:rsid w:val="0036451C"/>
    <w:rsid w:val="00386F9F"/>
    <w:rsid w:val="00392EAD"/>
    <w:rsid w:val="003947A0"/>
    <w:rsid w:val="003A06C5"/>
    <w:rsid w:val="003A7DFB"/>
    <w:rsid w:val="003B237C"/>
    <w:rsid w:val="003B5DE4"/>
    <w:rsid w:val="003C130B"/>
    <w:rsid w:val="003D061A"/>
    <w:rsid w:val="003D0BE8"/>
    <w:rsid w:val="003D2EBA"/>
    <w:rsid w:val="003F3F63"/>
    <w:rsid w:val="0040716F"/>
    <w:rsid w:val="00411BBA"/>
    <w:rsid w:val="00423552"/>
    <w:rsid w:val="00425248"/>
    <w:rsid w:val="00430777"/>
    <w:rsid w:val="00431708"/>
    <w:rsid w:val="00434E01"/>
    <w:rsid w:val="0043526C"/>
    <w:rsid w:val="00436B59"/>
    <w:rsid w:val="004415DD"/>
    <w:rsid w:val="00441FD7"/>
    <w:rsid w:val="00442019"/>
    <w:rsid w:val="004420A5"/>
    <w:rsid w:val="0044361F"/>
    <w:rsid w:val="00450B1A"/>
    <w:rsid w:val="00453B49"/>
    <w:rsid w:val="00457179"/>
    <w:rsid w:val="0046397E"/>
    <w:rsid w:val="00463AFE"/>
    <w:rsid w:val="004666C0"/>
    <w:rsid w:val="004876F9"/>
    <w:rsid w:val="004A7240"/>
    <w:rsid w:val="004B384C"/>
    <w:rsid w:val="004B5CD9"/>
    <w:rsid w:val="004B7CF1"/>
    <w:rsid w:val="004C1FA0"/>
    <w:rsid w:val="004C22E8"/>
    <w:rsid w:val="004E3DD7"/>
    <w:rsid w:val="00500D25"/>
    <w:rsid w:val="00504231"/>
    <w:rsid w:val="00511305"/>
    <w:rsid w:val="00523E55"/>
    <w:rsid w:val="00532CB2"/>
    <w:rsid w:val="00533230"/>
    <w:rsid w:val="00547A56"/>
    <w:rsid w:val="00565588"/>
    <w:rsid w:val="00592F98"/>
    <w:rsid w:val="00596EC5"/>
    <w:rsid w:val="005B6EAA"/>
    <w:rsid w:val="005C1605"/>
    <w:rsid w:val="005C4AE4"/>
    <w:rsid w:val="005D0446"/>
    <w:rsid w:val="005F156F"/>
    <w:rsid w:val="005F56EB"/>
    <w:rsid w:val="0060428E"/>
    <w:rsid w:val="006072E0"/>
    <w:rsid w:val="0061360B"/>
    <w:rsid w:val="0063248A"/>
    <w:rsid w:val="006372DA"/>
    <w:rsid w:val="006562D0"/>
    <w:rsid w:val="00661F24"/>
    <w:rsid w:val="00672736"/>
    <w:rsid w:val="00675622"/>
    <w:rsid w:val="006A3EB1"/>
    <w:rsid w:val="006A4F8C"/>
    <w:rsid w:val="006B2961"/>
    <w:rsid w:val="006C33CB"/>
    <w:rsid w:val="006C3D2A"/>
    <w:rsid w:val="006C5685"/>
    <w:rsid w:val="006C7516"/>
    <w:rsid w:val="006C7DD9"/>
    <w:rsid w:val="006D04D5"/>
    <w:rsid w:val="006E3273"/>
    <w:rsid w:val="006E6B7D"/>
    <w:rsid w:val="006F7BCD"/>
    <w:rsid w:val="007067E4"/>
    <w:rsid w:val="00713064"/>
    <w:rsid w:val="00720A5F"/>
    <w:rsid w:val="007338CE"/>
    <w:rsid w:val="00735A71"/>
    <w:rsid w:val="00741576"/>
    <w:rsid w:val="007552F3"/>
    <w:rsid w:val="0076393E"/>
    <w:rsid w:val="00773671"/>
    <w:rsid w:val="00782296"/>
    <w:rsid w:val="007829EB"/>
    <w:rsid w:val="00790358"/>
    <w:rsid w:val="007905DA"/>
    <w:rsid w:val="007A0482"/>
    <w:rsid w:val="007B1F66"/>
    <w:rsid w:val="007B295A"/>
    <w:rsid w:val="007C50FD"/>
    <w:rsid w:val="007F5681"/>
    <w:rsid w:val="00806A43"/>
    <w:rsid w:val="0080796E"/>
    <w:rsid w:val="00814A37"/>
    <w:rsid w:val="0082205A"/>
    <w:rsid w:val="008266C6"/>
    <w:rsid w:val="00826A54"/>
    <w:rsid w:val="00843314"/>
    <w:rsid w:val="00857017"/>
    <w:rsid w:val="0086083C"/>
    <w:rsid w:val="008612DC"/>
    <w:rsid w:val="00861364"/>
    <w:rsid w:val="0087428B"/>
    <w:rsid w:val="008804E1"/>
    <w:rsid w:val="00880C70"/>
    <w:rsid w:val="00895F89"/>
    <w:rsid w:val="008A1203"/>
    <w:rsid w:val="008A297D"/>
    <w:rsid w:val="008B2541"/>
    <w:rsid w:val="008D7A76"/>
    <w:rsid w:val="008E1BD4"/>
    <w:rsid w:val="009111FE"/>
    <w:rsid w:val="009132B6"/>
    <w:rsid w:val="009223B3"/>
    <w:rsid w:val="00923567"/>
    <w:rsid w:val="00937E82"/>
    <w:rsid w:val="00944DA0"/>
    <w:rsid w:val="00957A33"/>
    <w:rsid w:val="00960D79"/>
    <w:rsid w:val="0096525F"/>
    <w:rsid w:val="0096779F"/>
    <w:rsid w:val="0097002E"/>
    <w:rsid w:val="0097410F"/>
    <w:rsid w:val="0097452C"/>
    <w:rsid w:val="00975F59"/>
    <w:rsid w:val="009806EE"/>
    <w:rsid w:val="00982A8F"/>
    <w:rsid w:val="00993FF6"/>
    <w:rsid w:val="009948C3"/>
    <w:rsid w:val="009951C1"/>
    <w:rsid w:val="009B6C0F"/>
    <w:rsid w:val="009B7912"/>
    <w:rsid w:val="009C1BE5"/>
    <w:rsid w:val="009D6580"/>
    <w:rsid w:val="009F3027"/>
    <w:rsid w:val="00A001A3"/>
    <w:rsid w:val="00A00315"/>
    <w:rsid w:val="00A14F11"/>
    <w:rsid w:val="00A203A2"/>
    <w:rsid w:val="00A254D9"/>
    <w:rsid w:val="00A3618D"/>
    <w:rsid w:val="00A376D6"/>
    <w:rsid w:val="00A44D42"/>
    <w:rsid w:val="00A5730A"/>
    <w:rsid w:val="00A70D3F"/>
    <w:rsid w:val="00AC03E6"/>
    <w:rsid w:val="00AC3BF3"/>
    <w:rsid w:val="00AC6C5F"/>
    <w:rsid w:val="00AD3962"/>
    <w:rsid w:val="00AD4B16"/>
    <w:rsid w:val="00AE4CFA"/>
    <w:rsid w:val="00AF3052"/>
    <w:rsid w:val="00AF4B08"/>
    <w:rsid w:val="00B1586A"/>
    <w:rsid w:val="00B32488"/>
    <w:rsid w:val="00B35C1B"/>
    <w:rsid w:val="00B5171F"/>
    <w:rsid w:val="00B55FF9"/>
    <w:rsid w:val="00B62967"/>
    <w:rsid w:val="00B73DAE"/>
    <w:rsid w:val="00B748B8"/>
    <w:rsid w:val="00B83C26"/>
    <w:rsid w:val="00B93E28"/>
    <w:rsid w:val="00B97E4B"/>
    <w:rsid w:val="00BB3FD3"/>
    <w:rsid w:val="00BC5514"/>
    <w:rsid w:val="00BC6BD2"/>
    <w:rsid w:val="00BE6267"/>
    <w:rsid w:val="00BF5FE2"/>
    <w:rsid w:val="00C0690E"/>
    <w:rsid w:val="00C14938"/>
    <w:rsid w:val="00C150DC"/>
    <w:rsid w:val="00C15B4B"/>
    <w:rsid w:val="00C313E2"/>
    <w:rsid w:val="00C326E5"/>
    <w:rsid w:val="00C348ED"/>
    <w:rsid w:val="00C37263"/>
    <w:rsid w:val="00C42A76"/>
    <w:rsid w:val="00C42E7E"/>
    <w:rsid w:val="00C54705"/>
    <w:rsid w:val="00C56099"/>
    <w:rsid w:val="00C70B05"/>
    <w:rsid w:val="00C738AE"/>
    <w:rsid w:val="00C74611"/>
    <w:rsid w:val="00C753CB"/>
    <w:rsid w:val="00C779A4"/>
    <w:rsid w:val="00C839A1"/>
    <w:rsid w:val="00C95604"/>
    <w:rsid w:val="00C964E9"/>
    <w:rsid w:val="00CB7873"/>
    <w:rsid w:val="00CC2A32"/>
    <w:rsid w:val="00CC45C2"/>
    <w:rsid w:val="00CC4B0B"/>
    <w:rsid w:val="00CD7E96"/>
    <w:rsid w:val="00CF2281"/>
    <w:rsid w:val="00D012AF"/>
    <w:rsid w:val="00D01878"/>
    <w:rsid w:val="00D05625"/>
    <w:rsid w:val="00D1498F"/>
    <w:rsid w:val="00D3465D"/>
    <w:rsid w:val="00D379EB"/>
    <w:rsid w:val="00D4446B"/>
    <w:rsid w:val="00D44FD7"/>
    <w:rsid w:val="00D45A85"/>
    <w:rsid w:val="00D62F85"/>
    <w:rsid w:val="00D92DA4"/>
    <w:rsid w:val="00DA5C29"/>
    <w:rsid w:val="00DD2837"/>
    <w:rsid w:val="00DD56F2"/>
    <w:rsid w:val="00DE5B28"/>
    <w:rsid w:val="00DE6AED"/>
    <w:rsid w:val="00DF4CB8"/>
    <w:rsid w:val="00E00984"/>
    <w:rsid w:val="00E17C3F"/>
    <w:rsid w:val="00E23B5F"/>
    <w:rsid w:val="00E2651A"/>
    <w:rsid w:val="00E27603"/>
    <w:rsid w:val="00E27E8A"/>
    <w:rsid w:val="00E369BE"/>
    <w:rsid w:val="00E436D5"/>
    <w:rsid w:val="00E5671D"/>
    <w:rsid w:val="00E615FD"/>
    <w:rsid w:val="00E63C2A"/>
    <w:rsid w:val="00E90052"/>
    <w:rsid w:val="00E92CC8"/>
    <w:rsid w:val="00EB2C82"/>
    <w:rsid w:val="00EB3CC7"/>
    <w:rsid w:val="00ED0536"/>
    <w:rsid w:val="00ED310F"/>
    <w:rsid w:val="00ED3784"/>
    <w:rsid w:val="00ED6FFE"/>
    <w:rsid w:val="00ED7B66"/>
    <w:rsid w:val="00EE0F74"/>
    <w:rsid w:val="00EE116A"/>
    <w:rsid w:val="00F01D6C"/>
    <w:rsid w:val="00F12C2D"/>
    <w:rsid w:val="00F136B2"/>
    <w:rsid w:val="00F149BE"/>
    <w:rsid w:val="00F20E69"/>
    <w:rsid w:val="00F25E46"/>
    <w:rsid w:val="00F65565"/>
    <w:rsid w:val="00F66A0A"/>
    <w:rsid w:val="00F679D7"/>
    <w:rsid w:val="00F73150"/>
    <w:rsid w:val="00F95F03"/>
    <w:rsid w:val="00FA465C"/>
    <w:rsid w:val="00FA53CA"/>
    <w:rsid w:val="00FC55C1"/>
    <w:rsid w:val="00FE6F83"/>
    <w:rsid w:val="00FF4CAF"/>
    <w:rsid w:val="00FF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137E5-EEFD-4253-816E-D13179CB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4E9"/>
    <w:rPr>
      <w:rFonts w:eastAsiaTheme="minorEastAsia"/>
      <w:lang w:eastAsia="ru-RU"/>
    </w:rPr>
  </w:style>
  <w:style w:type="paragraph" w:styleId="1">
    <w:name w:val="heading 1"/>
    <w:basedOn w:val="a"/>
    <w:next w:val="a"/>
    <w:link w:val="10"/>
    <w:qFormat/>
    <w:rsid w:val="00C964E9"/>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64E9"/>
    <w:rPr>
      <w:rFonts w:ascii="Arial" w:eastAsia="Times New Roman" w:hAnsi="Arial" w:cs="Times New Roman"/>
      <w:b/>
      <w:kern w:val="28"/>
      <w:sz w:val="28"/>
      <w:szCs w:val="20"/>
      <w:lang w:eastAsia="ru-RU"/>
    </w:rPr>
  </w:style>
  <w:style w:type="paragraph" w:styleId="a3">
    <w:name w:val="header"/>
    <w:basedOn w:val="a"/>
    <w:link w:val="a4"/>
    <w:uiPriority w:val="99"/>
    <w:unhideWhenUsed/>
    <w:rsid w:val="00975F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5F59"/>
    <w:rPr>
      <w:rFonts w:eastAsiaTheme="minorEastAsia"/>
      <w:lang w:eastAsia="ru-RU"/>
    </w:rPr>
  </w:style>
  <w:style w:type="paragraph" w:styleId="a5">
    <w:name w:val="footer"/>
    <w:basedOn w:val="a"/>
    <w:link w:val="a6"/>
    <w:uiPriority w:val="99"/>
    <w:semiHidden/>
    <w:unhideWhenUsed/>
    <w:rsid w:val="00975F5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75F59"/>
    <w:rPr>
      <w:rFonts w:eastAsiaTheme="minorEastAsia"/>
      <w:lang w:eastAsia="ru-RU"/>
    </w:rPr>
  </w:style>
  <w:style w:type="paragraph" w:styleId="a7">
    <w:name w:val="Balloon Text"/>
    <w:basedOn w:val="a"/>
    <w:link w:val="a8"/>
    <w:uiPriority w:val="99"/>
    <w:semiHidden/>
    <w:unhideWhenUsed/>
    <w:rsid w:val="00D018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1878"/>
    <w:rPr>
      <w:rFonts w:ascii="Tahoma" w:eastAsiaTheme="minorEastAsia" w:hAnsi="Tahoma" w:cs="Tahoma"/>
      <w:sz w:val="16"/>
      <w:szCs w:val="16"/>
      <w:lang w:eastAsia="ru-RU"/>
    </w:rPr>
  </w:style>
  <w:style w:type="paragraph" w:styleId="a9">
    <w:name w:val="List Paragraph"/>
    <w:basedOn w:val="a"/>
    <w:uiPriority w:val="34"/>
    <w:qFormat/>
    <w:rsid w:val="00500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78179">
      <w:bodyDiv w:val="1"/>
      <w:marLeft w:val="0"/>
      <w:marRight w:val="0"/>
      <w:marTop w:val="0"/>
      <w:marBottom w:val="0"/>
      <w:divBdr>
        <w:top w:val="none" w:sz="0" w:space="0" w:color="auto"/>
        <w:left w:val="none" w:sz="0" w:space="0" w:color="auto"/>
        <w:bottom w:val="none" w:sz="0" w:space="0" w:color="auto"/>
        <w:right w:val="none" w:sz="0" w:space="0" w:color="auto"/>
      </w:divBdr>
    </w:div>
    <w:div w:id="187644542">
      <w:bodyDiv w:val="1"/>
      <w:marLeft w:val="0"/>
      <w:marRight w:val="0"/>
      <w:marTop w:val="0"/>
      <w:marBottom w:val="0"/>
      <w:divBdr>
        <w:top w:val="none" w:sz="0" w:space="0" w:color="auto"/>
        <w:left w:val="none" w:sz="0" w:space="0" w:color="auto"/>
        <w:bottom w:val="none" w:sz="0" w:space="0" w:color="auto"/>
        <w:right w:val="none" w:sz="0" w:space="0" w:color="auto"/>
      </w:divBdr>
    </w:div>
    <w:div w:id="200478446">
      <w:bodyDiv w:val="1"/>
      <w:marLeft w:val="0"/>
      <w:marRight w:val="0"/>
      <w:marTop w:val="0"/>
      <w:marBottom w:val="0"/>
      <w:divBdr>
        <w:top w:val="none" w:sz="0" w:space="0" w:color="auto"/>
        <w:left w:val="none" w:sz="0" w:space="0" w:color="auto"/>
        <w:bottom w:val="none" w:sz="0" w:space="0" w:color="auto"/>
        <w:right w:val="none" w:sz="0" w:space="0" w:color="auto"/>
      </w:divBdr>
    </w:div>
    <w:div w:id="353194291">
      <w:bodyDiv w:val="1"/>
      <w:marLeft w:val="0"/>
      <w:marRight w:val="0"/>
      <w:marTop w:val="0"/>
      <w:marBottom w:val="0"/>
      <w:divBdr>
        <w:top w:val="none" w:sz="0" w:space="0" w:color="auto"/>
        <w:left w:val="none" w:sz="0" w:space="0" w:color="auto"/>
        <w:bottom w:val="none" w:sz="0" w:space="0" w:color="auto"/>
        <w:right w:val="none" w:sz="0" w:space="0" w:color="auto"/>
      </w:divBdr>
    </w:div>
    <w:div w:id="569655186">
      <w:bodyDiv w:val="1"/>
      <w:marLeft w:val="0"/>
      <w:marRight w:val="0"/>
      <w:marTop w:val="0"/>
      <w:marBottom w:val="0"/>
      <w:divBdr>
        <w:top w:val="none" w:sz="0" w:space="0" w:color="auto"/>
        <w:left w:val="none" w:sz="0" w:space="0" w:color="auto"/>
        <w:bottom w:val="none" w:sz="0" w:space="0" w:color="auto"/>
        <w:right w:val="none" w:sz="0" w:space="0" w:color="auto"/>
      </w:divBdr>
    </w:div>
    <w:div w:id="983898494">
      <w:bodyDiv w:val="1"/>
      <w:marLeft w:val="0"/>
      <w:marRight w:val="0"/>
      <w:marTop w:val="0"/>
      <w:marBottom w:val="0"/>
      <w:divBdr>
        <w:top w:val="none" w:sz="0" w:space="0" w:color="auto"/>
        <w:left w:val="none" w:sz="0" w:space="0" w:color="auto"/>
        <w:bottom w:val="none" w:sz="0" w:space="0" w:color="auto"/>
        <w:right w:val="none" w:sz="0" w:space="0" w:color="auto"/>
      </w:divBdr>
    </w:div>
    <w:div w:id="1173032946">
      <w:bodyDiv w:val="1"/>
      <w:marLeft w:val="0"/>
      <w:marRight w:val="0"/>
      <w:marTop w:val="0"/>
      <w:marBottom w:val="0"/>
      <w:divBdr>
        <w:top w:val="none" w:sz="0" w:space="0" w:color="auto"/>
        <w:left w:val="none" w:sz="0" w:space="0" w:color="auto"/>
        <w:bottom w:val="none" w:sz="0" w:space="0" w:color="auto"/>
        <w:right w:val="none" w:sz="0" w:space="0" w:color="auto"/>
      </w:divBdr>
    </w:div>
    <w:div w:id="1782989520">
      <w:bodyDiv w:val="1"/>
      <w:marLeft w:val="0"/>
      <w:marRight w:val="0"/>
      <w:marTop w:val="0"/>
      <w:marBottom w:val="0"/>
      <w:divBdr>
        <w:top w:val="none" w:sz="0" w:space="0" w:color="auto"/>
        <w:left w:val="none" w:sz="0" w:space="0" w:color="auto"/>
        <w:bottom w:val="none" w:sz="0" w:space="0" w:color="auto"/>
        <w:right w:val="none" w:sz="0" w:space="0" w:color="auto"/>
      </w:divBdr>
    </w:div>
    <w:div w:id="1836679066">
      <w:bodyDiv w:val="1"/>
      <w:marLeft w:val="0"/>
      <w:marRight w:val="0"/>
      <w:marTop w:val="0"/>
      <w:marBottom w:val="0"/>
      <w:divBdr>
        <w:top w:val="none" w:sz="0" w:space="0" w:color="auto"/>
        <w:left w:val="none" w:sz="0" w:space="0" w:color="auto"/>
        <w:bottom w:val="none" w:sz="0" w:space="0" w:color="auto"/>
        <w:right w:val="none" w:sz="0" w:space="0" w:color="auto"/>
      </w:divBdr>
    </w:div>
    <w:div w:id="21233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834291961590547E-2"/>
          <c:y val="6.389888763904511E-2"/>
          <c:w val="0.91810493060496079"/>
          <c:h val="0.76096394200724904"/>
        </c:manualLayout>
      </c:layout>
      <c:barChart>
        <c:barDir val="col"/>
        <c:grouping val="clustered"/>
        <c:varyColors val="0"/>
        <c:ser>
          <c:idx val="0"/>
          <c:order val="0"/>
          <c:tx>
            <c:strRef>
              <c:f>Лист1!$B$1</c:f>
              <c:strCache>
                <c:ptCount val="1"/>
                <c:pt idx="0">
                  <c:v>собственные средства</c:v>
                </c:pt>
              </c:strCache>
            </c:strRef>
          </c:tx>
          <c:spPr>
            <a:solidFill>
              <a:schemeClr val="accent1"/>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январь-декабрь 2021</c:v>
                </c:pt>
                <c:pt idx="1">
                  <c:v>январь-декабрь 2022</c:v>
                </c:pt>
                <c:pt idx="2">
                  <c:v>январь декабрь 2023</c:v>
                </c:pt>
              </c:strCache>
            </c:strRef>
          </c:cat>
          <c:val>
            <c:numRef>
              <c:f>Лист1!$B$2:$B$4</c:f>
              <c:numCache>
                <c:formatCode>General</c:formatCode>
                <c:ptCount val="3"/>
                <c:pt idx="0">
                  <c:v>198.7</c:v>
                </c:pt>
                <c:pt idx="1">
                  <c:v>466.5</c:v>
                </c:pt>
                <c:pt idx="2">
                  <c:v>469.5</c:v>
                </c:pt>
              </c:numCache>
            </c:numRef>
          </c:val>
          <c:extLst>
            <c:ext xmlns:c16="http://schemas.microsoft.com/office/drawing/2014/chart" uri="{C3380CC4-5D6E-409C-BE32-E72D297353CC}">
              <c16:uniqueId val="{00000000-4AE3-47C3-9E12-AD9BDFFC6DE8}"/>
            </c:ext>
          </c:extLst>
        </c:ser>
        <c:ser>
          <c:idx val="1"/>
          <c:order val="1"/>
          <c:tx>
            <c:strRef>
              <c:f>Лист1!$C$1</c:f>
              <c:strCache>
                <c:ptCount val="1"/>
                <c:pt idx="0">
                  <c:v>привлеченные средства</c:v>
                </c:pt>
              </c:strCache>
            </c:strRef>
          </c:tx>
          <c:spPr>
            <a:solidFill>
              <a:schemeClr val="accent3"/>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invertIfNegative val="0"/>
          <c:dPt>
            <c:idx val="0"/>
            <c:invertIfNegative val="0"/>
            <c:bubble3D val="0"/>
            <c:spPr>
              <a:solidFill>
                <a:schemeClr val="accent3"/>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4AE3-47C3-9E12-AD9BDFFC6DE8}"/>
              </c:ext>
            </c:extLst>
          </c:dPt>
          <c:dPt>
            <c:idx val="1"/>
            <c:invertIfNegative val="0"/>
            <c:bubble3D val="0"/>
            <c:spPr>
              <a:solidFill>
                <a:schemeClr val="accent3"/>
              </a:solidFill>
              <a:ln w="9525" cap="flat" cmpd="sng" algn="ctr">
                <a:solidFill>
                  <a:schemeClr val="lt1">
                    <a:shade val="95000"/>
                    <a:satMod val="105000"/>
                  </a:schemeClr>
                </a:solidFill>
                <a:prstDash val="solid"/>
                <a:round/>
              </a:ln>
              <a:effectLst>
                <a:outerShdw blurRad="40000" dist="20000" dir="5400000" rotWithShape="0">
                  <a:srgbClr val="000000">
                    <a:alpha val="38000"/>
                  </a:srgbClr>
                </a:outerShdw>
              </a:effectLst>
            </c:spPr>
            <c:extLst>
              <c:ext xmlns:c16="http://schemas.microsoft.com/office/drawing/2014/chart" uri="{C3380CC4-5D6E-409C-BE32-E72D297353CC}">
                <c16:uniqueId val="{00000002-4AE3-47C3-9E12-AD9BDFFC6DE8}"/>
              </c:ext>
            </c:extLst>
          </c:dPt>
          <c:dLbls>
            <c:dLbl>
              <c:idx val="1"/>
              <c:tx>
                <c:rich>
                  <a:bodyPr/>
                  <a:lstStyle/>
                  <a:p>
                    <a:r>
                      <a:rPr lang="en-US"/>
                      <a:t>295,1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AE3-47C3-9E12-AD9BDFFC6DE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январь-декабрь 2021</c:v>
                </c:pt>
                <c:pt idx="1">
                  <c:v>январь-декабрь 2022</c:v>
                </c:pt>
                <c:pt idx="2">
                  <c:v>январь декабрь 2023</c:v>
                </c:pt>
              </c:strCache>
            </c:strRef>
          </c:cat>
          <c:val>
            <c:numRef>
              <c:f>Лист1!$C$2:$C$4</c:f>
              <c:numCache>
                <c:formatCode>General</c:formatCode>
                <c:ptCount val="3"/>
                <c:pt idx="0">
                  <c:v>208.5</c:v>
                </c:pt>
                <c:pt idx="1">
                  <c:v>295.10000000000002</c:v>
                </c:pt>
                <c:pt idx="2">
                  <c:v>533.20000000000005</c:v>
                </c:pt>
              </c:numCache>
            </c:numRef>
          </c:val>
          <c:extLst>
            <c:ext xmlns:c16="http://schemas.microsoft.com/office/drawing/2014/chart" uri="{C3380CC4-5D6E-409C-BE32-E72D297353CC}">
              <c16:uniqueId val="{00000003-4AE3-47C3-9E12-AD9BDFFC6DE8}"/>
            </c:ext>
          </c:extLst>
        </c:ser>
        <c:dLbls>
          <c:showLegendKey val="0"/>
          <c:showVal val="0"/>
          <c:showCatName val="0"/>
          <c:showSerName val="0"/>
          <c:showPercent val="0"/>
          <c:showBubbleSize val="0"/>
        </c:dLbls>
        <c:gapWidth val="325"/>
        <c:overlap val="-2"/>
        <c:axId val="131284992"/>
        <c:axId val="131286528"/>
      </c:barChart>
      <c:catAx>
        <c:axId val="131284992"/>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31286528"/>
        <c:crosses val="autoZero"/>
        <c:auto val="1"/>
        <c:lblAlgn val="ctr"/>
        <c:lblOffset val="100"/>
        <c:noMultiLvlLbl val="0"/>
      </c:catAx>
      <c:valAx>
        <c:axId val="131286528"/>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crossAx val="131284992"/>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1" u="none" strike="noStrike" kern="1200" baseline="0">
                <a:solidFill>
                  <a:schemeClr val="tx1"/>
                </a:solidFill>
                <a:latin typeface="Times New Roman" pitchFamily="18" charset="0"/>
                <a:ea typeface="+mn-ea"/>
                <a:cs typeface="Times New Roman" pitchFamily="18" charset="0"/>
              </a:defRPr>
            </a:pPr>
            <a:r>
              <a:rPr lang="ru-RU" sz="1300" b="1" i="1">
                <a:latin typeface="Times New Roman" pitchFamily="18" charset="0"/>
                <a:cs typeface="Times New Roman" pitchFamily="18" charset="0"/>
              </a:rPr>
              <a:t>Распределение инвестиций в основной капитал крупных и средних предприятий по направлениям основных фондов </a:t>
            </a:r>
          </a:p>
          <a:p>
            <a:pPr>
              <a:defRPr sz="1100" b="0" i="1">
                <a:latin typeface="Times New Roman" pitchFamily="18" charset="0"/>
                <a:cs typeface="Times New Roman" pitchFamily="18" charset="0"/>
              </a:defRPr>
            </a:pPr>
            <a:r>
              <a:rPr lang="ru-RU" sz="1300" b="1" i="1">
                <a:latin typeface="Times New Roman" pitchFamily="18" charset="0"/>
                <a:cs typeface="Times New Roman" pitchFamily="18" charset="0"/>
              </a:rPr>
              <a:t>за январь-декабрь 2023 года, млн. руб.</a:t>
            </a:r>
          </a:p>
        </c:rich>
      </c:tx>
      <c:overlay val="0"/>
      <c:spPr>
        <a:noFill/>
        <a:ln>
          <a:noFill/>
        </a:ln>
        <a:effectLst/>
      </c:spPr>
      <c:txPr>
        <a:bodyPr rot="0" spcFirstLastPara="1" vertOverflow="ellipsis" vert="horz" wrap="square" anchor="ctr" anchorCtr="1"/>
        <a:lstStyle/>
        <a:p>
          <a:pPr>
            <a:defRPr sz="1100" b="0" i="1" u="none" strike="noStrike" kern="1200" baseline="0">
              <a:solidFill>
                <a:schemeClr val="tx1"/>
              </a:solidFill>
              <a:latin typeface="Times New Roman" pitchFamily="18" charset="0"/>
              <a:ea typeface="+mn-ea"/>
              <a:cs typeface="Times New Roman" pitchFamily="18" charset="0"/>
            </a:defRPr>
          </a:pPr>
          <a:endParaRPr lang="ru-RU"/>
        </a:p>
      </c:txPr>
    </c:title>
    <c:autoTitleDeleted val="0"/>
    <c:view3D>
      <c:rotX val="30"/>
      <c:rotY val="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0033658039234994E-2"/>
          <c:y val="0.3064298212723417"/>
          <c:w val="0.56174022708939952"/>
          <c:h val="0.60077146606674225"/>
        </c:manualLayout>
      </c:layout>
      <c:pie3DChart>
        <c:varyColors val="1"/>
        <c:ser>
          <c:idx val="0"/>
          <c:order val="0"/>
          <c:tx>
            <c:strRef>
              <c:f>Лист1!$B$1</c:f>
              <c:strCache>
                <c:ptCount val="1"/>
                <c:pt idx="0">
                  <c:v>Распределение инвестиций в основной капитал крупных и средних предприятий по направлениям основных фондов за январь-декабрь 2017 года</c:v>
                </c:pt>
              </c:strCache>
            </c:strRef>
          </c:tx>
          <c:dPt>
            <c:idx val="0"/>
            <c:bubble3D val="0"/>
            <c:explosion val="7"/>
            <c:spPr>
              <a:solidFill>
                <a:schemeClr val="accent1"/>
              </a:solidFill>
              <a:ln>
                <a:noFill/>
              </a:ln>
              <a:effectLst/>
              <a:sp3d/>
            </c:spPr>
            <c:extLst>
              <c:ext xmlns:c16="http://schemas.microsoft.com/office/drawing/2014/chart" uri="{C3380CC4-5D6E-409C-BE32-E72D297353CC}">
                <c16:uniqueId val="{00000000-6CBC-481B-8690-91426EAF117F}"/>
              </c:ext>
            </c:extLst>
          </c:dPt>
          <c:dPt>
            <c:idx val="1"/>
            <c:bubble3D val="0"/>
            <c:explosion val="12"/>
            <c:spPr>
              <a:solidFill>
                <a:schemeClr val="accent3"/>
              </a:solidFill>
              <a:ln>
                <a:noFill/>
              </a:ln>
              <a:effectLst/>
              <a:sp3d/>
            </c:spPr>
            <c:extLst>
              <c:ext xmlns:c16="http://schemas.microsoft.com/office/drawing/2014/chart" uri="{C3380CC4-5D6E-409C-BE32-E72D297353CC}">
                <c16:uniqueId val="{00000001-6CBC-481B-8690-91426EAF117F}"/>
              </c:ext>
            </c:extLst>
          </c:dPt>
          <c:dPt>
            <c:idx val="2"/>
            <c:bubble3D val="0"/>
            <c:explosion val="6"/>
            <c:spPr>
              <a:solidFill>
                <a:schemeClr val="accent5"/>
              </a:solidFill>
              <a:ln>
                <a:noFill/>
              </a:ln>
              <a:effectLst/>
              <a:sp3d/>
            </c:spPr>
            <c:extLst>
              <c:ext xmlns:c16="http://schemas.microsoft.com/office/drawing/2014/chart" uri="{C3380CC4-5D6E-409C-BE32-E72D297353CC}">
                <c16:uniqueId val="{00000002-6CBC-481B-8690-91426EAF117F}"/>
              </c:ext>
            </c:extLst>
          </c:dPt>
          <c:dPt>
            <c:idx val="3"/>
            <c:bubble3D val="0"/>
            <c:explosion val="9"/>
            <c:spPr>
              <a:solidFill>
                <a:schemeClr val="accent1">
                  <a:lumMod val="60000"/>
                </a:schemeClr>
              </a:solidFill>
              <a:ln>
                <a:noFill/>
              </a:ln>
              <a:effectLst/>
              <a:sp3d/>
            </c:spPr>
            <c:extLst>
              <c:ext xmlns:c16="http://schemas.microsoft.com/office/drawing/2014/chart" uri="{C3380CC4-5D6E-409C-BE32-E72D297353CC}">
                <c16:uniqueId val="{00000003-6CBC-481B-8690-91426EAF117F}"/>
              </c:ext>
            </c:extLst>
          </c:dPt>
          <c:dPt>
            <c:idx val="4"/>
            <c:bubble3D val="0"/>
            <c:spPr>
              <a:solidFill>
                <a:schemeClr val="accent3">
                  <a:lumMod val="60000"/>
                </a:schemeClr>
              </a:solidFill>
              <a:ln>
                <a:noFill/>
              </a:ln>
              <a:effectLst/>
              <a:sp3d/>
            </c:spPr>
            <c:extLst>
              <c:ext xmlns:c16="http://schemas.microsoft.com/office/drawing/2014/chart" uri="{C3380CC4-5D6E-409C-BE32-E72D297353CC}">
                <c16:uniqueId val="{00000009-3295-4117-8519-0BB650347CFA}"/>
              </c:ext>
            </c:extLst>
          </c:dPt>
          <c:dLbls>
            <c:dLbl>
              <c:idx val="0"/>
              <c:layout>
                <c:manualLayout>
                  <c:x val="-7.2625695579004335E-2"/>
                  <c:y val="-3.7453668545238954E-2"/>
                </c:manualLayout>
              </c:layout>
              <c:tx>
                <c:rich>
                  <a:bodyPr/>
                  <a:lstStyle/>
                  <a:p>
                    <a:r>
                      <a:rPr lang="en-US"/>
                      <a:t>282.8</a:t>
                    </a:r>
                  </a:p>
                </c:rich>
              </c:tx>
              <c:showLegendKey val="0"/>
              <c:showVal val="1"/>
              <c:showCatName val="0"/>
              <c:showSerName val="0"/>
              <c:showPercent val="0"/>
              <c:showBubbleSize val="0"/>
              <c:extLst>
                <c:ext xmlns:c15="http://schemas.microsoft.com/office/drawing/2012/chart" uri="{CE6537A1-D6FC-4f65-9D91-7224C49458BB}">
                  <c15:layout>
                    <c:manualLayout>
                      <c:w val="0.1259593564844956"/>
                      <c:h val="8.3287671232876712E-2"/>
                    </c:manualLayout>
                  </c15:layout>
                </c:ext>
                <c:ext xmlns:c16="http://schemas.microsoft.com/office/drawing/2014/chart" uri="{C3380CC4-5D6E-409C-BE32-E72D297353CC}">
                  <c16:uniqueId val="{00000000-6CBC-481B-8690-91426EAF117F}"/>
                </c:ext>
              </c:extLst>
            </c:dLbl>
            <c:dLbl>
              <c:idx val="1"/>
              <c:layout>
                <c:manualLayout>
                  <c:x val="6.4675519304236734E-2"/>
                  <c:y val="-0.2705802256951384"/>
                </c:manualLayout>
              </c:layout>
              <c:tx>
                <c:rich>
                  <a:bodyPr/>
                  <a:lstStyle/>
                  <a:p>
                    <a:r>
                      <a:rPr lang="en-US">
                        <a:solidFill>
                          <a:sysClr val="windowText" lastClr="000000"/>
                        </a:solidFill>
                      </a:rPr>
                      <a:t>473.6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BC-481B-8690-91426EAF117F}"/>
                </c:ext>
              </c:extLst>
            </c:dLbl>
            <c:dLbl>
              <c:idx val="2"/>
              <c:layout>
                <c:manualLayout>
                  <c:x val="0.13057992555922707"/>
                  <c:y val="-0.14454721078646901"/>
                </c:manualLayout>
              </c:layout>
              <c:tx>
                <c:rich>
                  <a:bodyPr/>
                  <a:lstStyle/>
                  <a:p>
                    <a:r>
                      <a:rPr lang="en-US"/>
                      <a:t>203.9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BC-481B-8690-91426EAF117F}"/>
                </c:ext>
              </c:extLst>
            </c:dLbl>
            <c:dLbl>
              <c:idx val="3"/>
              <c:layout>
                <c:manualLayout>
                  <c:x val="-8.6170968098566461E-2"/>
                  <c:y val="0.13089332107598212"/>
                </c:manualLayout>
              </c:layout>
              <c:tx>
                <c:rich>
                  <a:bodyPr/>
                  <a:lstStyle/>
                  <a:p>
                    <a:r>
                      <a:rPr lang="en-US"/>
                      <a:t>29.6</a:t>
                    </a:r>
                  </a:p>
                </c:rich>
              </c:tx>
              <c:showLegendKey val="0"/>
              <c:showVal val="1"/>
              <c:showCatName val="0"/>
              <c:showSerName val="0"/>
              <c:showPercent val="0"/>
              <c:showBubbleSize val="0"/>
              <c:extLst>
                <c:ext xmlns:c15="http://schemas.microsoft.com/office/drawing/2012/chart" uri="{CE6537A1-D6FC-4f65-9D91-7224C49458BB}">
                  <c15:layout>
                    <c:manualLayout>
                      <c:w val="9.9843993759750393E-2"/>
                      <c:h val="8.3925549915397635E-2"/>
                    </c:manualLayout>
                  </c15:layout>
                </c:ext>
                <c:ext xmlns:c16="http://schemas.microsoft.com/office/drawing/2014/chart" uri="{C3380CC4-5D6E-409C-BE32-E72D297353CC}">
                  <c16:uniqueId val="{00000003-6CBC-481B-8690-91426EAF117F}"/>
                </c:ext>
              </c:extLst>
            </c:dLbl>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itchFamily="18" charset="0"/>
                    <a:ea typeface="+mn-ea"/>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Лист1!$A$2:$A$6</c:f>
              <c:strCache>
                <c:ptCount val="4"/>
                <c:pt idx="0">
                  <c:v>машины, оборудование</c:v>
                </c:pt>
                <c:pt idx="1">
                  <c:v>здания (кроме жилых) и сооружения</c:v>
                </c:pt>
                <c:pt idx="2">
                  <c:v>транспортные средства</c:v>
                </c:pt>
                <c:pt idx="3">
                  <c:v>прочие </c:v>
                </c:pt>
              </c:strCache>
            </c:strRef>
          </c:cat>
          <c:val>
            <c:numRef>
              <c:f>Лист1!$B$2:$B$6</c:f>
              <c:numCache>
                <c:formatCode>General</c:formatCode>
                <c:ptCount val="5"/>
                <c:pt idx="0">
                  <c:v>282.8</c:v>
                </c:pt>
                <c:pt idx="1">
                  <c:v>473.6</c:v>
                </c:pt>
                <c:pt idx="2">
                  <c:v>29.6</c:v>
                </c:pt>
                <c:pt idx="3">
                  <c:v>203.9</c:v>
                </c:pt>
              </c:numCache>
            </c:numRef>
          </c:val>
          <c:extLst>
            <c:ext xmlns:c16="http://schemas.microsoft.com/office/drawing/2014/chart" uri="{C3380CC4-5D6E-409C-BE32-E72D297353CC}">
              <c16:uniqueId val="{00000004-6CBC-481B-8690-91426EAF117F}"/>
            </c:ext>
          </c:extLst>
        </c:ser>
        <c:dLbls>
          <c:showLegendKey val="0"/>
          <c:showVal val="0"/>
          <c:showCatName val="0"/>
          <c:showSerName val="0"/>
          <c:showPercent val="0"/>
          <c:showBubbleSize val="0"/>
          <c:showLeaderLines val="0"/>
        </c:dLbls>
      </c:pie3DChart>
      <c:spPr>
        <a:noFill/>
        <a:ln w="25400">
          <a:noFill/>
        </a:ln>
        <a:effectLst/>
      </c:spPr>
    </c:plotArea>
    <c:legend>
      <c:legendPos val="r"/>
      <c:legendEntry>
        <c:idx val="4"/>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10">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a:schemeClr val="lt1"/>
    </cs:lnRef>
    <cs:fillRef idx="1">
      <cs:styleClr val="auto"/>
    </cs:fillRef>
    <cs:effectRef idx="1">
      <a:schemeClr val="dk1"/>
    </cs:effectRef>
    <cs:fontRef idx="minor">
      <a:schemeClr val="tx1"/>
    </cs:fontRef>
    <cs:spPr>
      <a:ln>
        <a:round/>
      </a:ln>
    </cs:spPr>
  </cs:dataPoint>
  <cs:dataPoint3D>
    <cs:lnRef idx="1">
      <a:schemeClr val="lt1"/>
    </cs:lnRef>
    <cs:fillRef idx="1">
      <cs:styleClr val="auto"/>
    </cs:fillRef>
    <cs:effectRef idx="1">
      <a:schemeClr val="dk1"/>
    </cs:effectRef>
    <cs:fontRef idx="minor">
      <a:schemeClr val="tx1"/>
    </cs:fontRef>
    <cs:spPr>
      <a:ln>
        <a:round/>
      </a:ln>
    </cs:spPr>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1">
      <cs:styleClr val="auto"/>
    </cs:fillRef>
    <cs:effectRef idx="1">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1">
      <a:schemeClr val="dk1"/>
    </cs:effectRef>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1">
      <a:schemeClr val="dk1"/>
    </cs:effectRef>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1242</Words>
  <Characters>7084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root</cp:lastModifiedBy>
  <cp:revision>4</cp:revision>
  <cp:lastPrinted>2023-05-24T07:17:00Z</cp:lastPrinted>
  <dcterms:created xsi:type="dcterms:W3CDTF">2024-04-22T04:45:00Z</dcterms:created>
  <dcterms:modified xsi:type="dcterms:W3CDTF">2024-10-16T08:53:00Z</dcterms:modified>
</cp:coreProperties>
</file>