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к прогнозу социально-экономического развития муниципального образования </w:t>
      </w:r>
      <w:r w:rsidR="00C1705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Макарьевский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Топчихинского района Алтайского края на 202</w:t>
      </w:r>
      <w:r w:rsidR="00BC22B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BC22B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BC22B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Прогноз социально-экономического развития муниципального образования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Макарьевский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Топчихинского района на 202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Топчихинском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Общая оценка социально-экономической ситуации в муниципальном образовании </w:t>
      </w:r>
      <w:r w:rsidR="00C1705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Макарьевский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Хоть за последний год рождаемость незначительно увеличилась,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что в общем мало влияет на естественный прирост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C17058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2023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наблюдался миграционный убыль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3 человека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0,3.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прогнозный период ожидается стабильная положительная динамика в миграции.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,1 %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702552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</w:t>
      </w:r>
      <w:r w:rsidRPr="00EE6DA1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. 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Количество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крупно-рогатого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во всех категориях хозяйств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однако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количество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птиц стало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немного </w:t>
      </w:r>
      <w:r w:rsidR="00010F3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ольше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еления 2020 года на   01.01.2024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533 человека.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02552" w:rsidRPr="00C17058" w:rsidRDefault="00702552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населения на 3 человека. 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Основным направлением экономики сельсовета является сельское хозяйство, которое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представлено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3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фермерски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) хозяйства. Основная специализация сельхозпредприятия – производство растениеводческой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продукции</w:t>
      </w:r>
      <w:r w:rsidR="0000273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0273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одно крестьянско-фермерское хозяйство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0273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специализируются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 производстве молока. 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0F3200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0F3200" w:rsidRPr="00702552" w:rsidRDefault="00702552" w:rsidP="000027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Активное участие сельхозтоваропроизводителей в адресных программах, получение субъектами государственной поддержки различных форм, стимулирование инвестиционной деятельности в отрасли 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00273B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="00702552"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Бюджет</w:t>
      </w:r>
    </w:p>
    <w:p w:rsidR="000F3200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0273B">
        <w:rPr>
          <w:rFonts w:ascii="Times New Roman" w:hAnsi="Times New Roman" w:cs="Times New Roman"/>
          <w:sz w:val="26"/>
          <w:szCs w:val="26"/>
        </w:rPr>
        <w:t xml:space="preserve">3499,046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lastRenderedPageBreak/>
        <w:t>В 202</w:t>
      </w:r>
      <w:r w:rsidR="000F3200">
        <w:rPr>
          <w:rFonts w:ascii="Times New Roman" w:eastAsia="Calibri" w:hAnsi="Times New Roman" w:cs="Times New Roman"/>
          <w:kern w:val="1"/>
          <w:sz w:val="26"/>
          <w:szCs w:val="26"/>
        </w:rPr>
        <w:t>3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F320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="0000273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271,0 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bookmarkStart w:id="0" w:name="_GoBack"/>
      <w:bookmarkEnd w:id="0"/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Макарьевского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58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0273B"/>
    <w:rsid w:val="00010F33"/>
    <w:rsid w:val="00053D09"/>
    <w:rsid w:val="000F3200"/>
    <w:rsid w:val="00145E22"/>
    <w:rsid w:val="0020087A"/>
    <w:rsid w:val="003F5656"/>
    <w:rsid w:val="00424848"/>
    <w:rsid w:val="00583EC4"/>
    <w:rsid w:val="00672512"/>
    <w:rsid w:val="00702552"/>
    <w:rsid w:val="00734A2C"/>
    <w:rsid w:val="008E3535"/>
    <w:rsid w:val="00960162"/>
    <w:rsid w:val="00AA6B1E"/>
    <w:rsid w:val="00BC22B1"/>
    <w:rsid w:val="00BE2E6D"/>
    <w:rsid w:val="00BE4C38"/>
    <w:rsid w:val="00C17058"/>
    <w:rsid w:val="00C26623"/>
    <w:rsid w:val="00CB3E8A"/>
    <w:rsid w:val="00D15DDE"/>
    <w:rsid w:val="00E314FE"/>
    <w:rsid w:val="00ED3115"/>
    <w:rsid w:val="00EE6DA1"/>
    <w:rsid w:val="00F90D53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celixoz-priemnai</cp:lastModifiedBy>
  <cp:revision>17</cp:revision>
  <cp:lastPrinted>2022-11-18T08:39:00Z</cp:lastPrinted>
  <dcterms:created xsi:type="dcterms:W3CDTF">2021-11-10T04:42:00Z</dcterms:created>
  <dcterms:modified xsi:type="dcterms:W3CDTF">2024-10-21T05:39:00Z</dcterms:modified>
</cp:coreProperties>
</file>