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F1" w:rsidRPr="000F16AB" w:rsidRDefault="001B7E08" w:rsidP="00F341F1">
      <w:pPr>
        <w:jc w:val="center"/>
        <w:rPr>
          <w:b/>
          <w:lang w:val="ru-RU"/>
        </w:rPr>
      </w:pPr>
      <w:r w:rsidRPr="000F16AB">
        <w:rPr>
          <w:b/>
          <w:lang w:val="ru-RU"/>
        </w:rPr>
        <w:t>КЛЮЧЕВ</w:t>
      </w:r>
      <w:r w:rsidR="00F341F1" w:rsidRPr="000F16AB">
        <w:rPr>
          <w:b/>
          <w:lang w:val="ru-RU"/>
        </w:rPr>
        <w:t xml:space="preserve">СКИЙ СЕЛЬСКИЙ СОВЕТ ДЕПУТАТОВ </w:t>
      </w:r>
    </w:p>
    <w:p w:rsidR="00F341F1" w:rsidRPr="000F16AB" w:rsidRDefault="00F341F1" w:rsidP="00F341F1">
      <w:pPr>
        <w:jc w:val="center"/>
        <w:rPr>
          <w:b/>
          <w:lang w:val="ru-RU"/>
        </w:rPr>
      </w:pPr>
      <w:r w:rsidRPr="000F16AB">
        <w:rPr>
          <w:b/>
          <w:lang w:val="ru-RU"/>
        </w:rPr>
        <w:t>ТОПЧИХИНСКОГО РАЙОНА АЛТАЙСКОГО КРАЯ</w:t>
      </w:r>
    </w:p>
    <w:p w:rsidR="00F341F1" w:rsidRPr="000F16AB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F16AB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F16AB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0F16AB">
        <w:rPr>
          <w:sz w:val="28"/>
          <w:szCs w:val="28"/>
        </w:rPr>
        <w:t>Р Е Ш Е Н И Е</w:t>
      </w:r>
    </w:p>
    <w:p w:rsidR="00F341F1" w:rsidRPr="000F16AB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F16AB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0F16AB" w:rsidRDefault="001B7E08" w:rsidP="00F341F1">
      <w:pPr>
        <w:pStyle w:val="ConsTitle"/>
        <w:widowControl/>
        <w:ind w:right="0"/>
        <w:rPr>
          <w:b w:val="0"/>
          <w:sz w:val="24"/>
          <w:szCs w:val="24"/>
        </w:rPr>
      </w:pPr>
      <w:r w:rsidRPr="000F16AB">
        <w:rPr>
          <w:b w:val="0"/>
          <w:sz w:val="24"/>
          <w:szCs w:val="24"/>
        </w:rPr>
        <w:t>25.03.</w:t>
      </w:r>
      <w:r w:rsidR="00D66053" w:rsidRPr="000F16AB">
        <w:rPr>
          <w:b w:val="0"/>
          <w:sz w:val="24"/>
          <w:szCs w:val="24"/>
        </w:rPr>
        <w:t xml:space="preserve"> </w:t>
      </w:r>
      <w:r w:rsidR="00F341F1" w:rsidRPr="000F16AB">
        <w:rPr>
          <w:b w:val="0"/>
          <w:sz w:val="24"/>
          <w:szCs w:val="24"/>
        </w:rPr>
        <w:t>202</w:t>
      </w:r>
      <w:r w:rsidR="00D66053" w:rsidRPr="000F16AB">
        <w:rPr>
          <w:b w:val="0"/>
          <w:sz w:val="24"/>
          <w:szCs w:val="24"/>
        </w:rPr>
        <w:t>5</w:t>
      </w:r>
      <w:r w:rsidR="00F341F1" w:rsidRPr="000F16AB">
        <w:rPr>
          <w:b w:val="0"/>
          <w:sz w:val="24"/>
          <w:szCs w:val="24"/>
        </w:rPr>
        <w:t xml:space="preserve">                                                                                                     №</w:t>
      </w:r>
      <w:r w:rsidR="00F341F1" w:rsidRPr="000F16AB">
        <w:rPr>
          <w:b w:val="0"/>
          <w:sz w:val="24"/>
          <w:szCs w:val="24"/>
        </w:rPr>
        <w:softHyphen/>
        <w:t xml:space="preserve"> </w:t>
      </w:r>
      <w:r w:rsidR="00432D00" w:rsidRPr="000F16AB">
        <w:rPr>
          <w:b w:val="0"/>
          <w:sz w:val="24"/>
          <w:szCs w:val="24"/>
        </w:rPr>
        <w:t>4</w:t>
      </w:r>
    </w:p>
    <w:p w:rsidR="00F341F1" w:rsidRPr="004F49C0" w:rsidRDefault="001B7E08" w:rsidP="00F341F1">
      <w:pPr>
        <w:pStyle w:val="ConsTitle"/>
        <w:widowControl/>
        <w:ind w:right="0"/>
        <w:jc w:val="center"/>
        <w:rPr>
          <w:color w:val="FF0000"/>
          <w:sz w:val="18"/>
          <w:szCs w:val="18"/>
        </w:rPr>
      </w:pPr>
      <w:r w:rsidRPr="000F16AB">
        <w:rPr>
          <w:sz w:val="18"/>
          <w:szCs w:val="18"/>
        </w:rPr>
        <w:t>п</w:t>
      </w:r>
      <w:r w:rsidR="00F341F1" w:rsidRPr="000F16AB">
        <w:rPr>
          <w:sz w:val="18"/>
          <w:szCs w:val="18"/>
        </w:rPr>
        <w:t>.</w:t>
      </w:r>
      <w:r w:rsidR="004F49C0" w:rsidRPr="000F16AB">
        <w:rPr>
          <w:sz w:val="18"/>
          <w:szCs w:val="18"/>
        </w:rPr>
        <w:t xml:space="preserve"> </w:t>
      </w:r>
      <w:r w:rsidRPr="000F16AB">
        <w:rPr>
          <w:sz w:val="18"/>
          <w:szCs w:val="18"/>
        </w:rPr>
        <w:t>Ключи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C518F0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</w:t>
      </w:r>
      <w:bookmarkStart w:id="0" w:name="_GoBack"/>
      <w:bookmarkEnd w:id="0"/>
      <w:r w:rsidRPr="00C518F0">
        <w:rPr>
          <w:sz w:val="28"/>
          <w:szCs w:val="28"/>
          <w:lang w:val="ru-RU"/>
        </w:rPr>
        <w:t xml:space="preserve">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1B7E08" w:rsidRPr="000F16AB">
        <w:rPr>
          <w:sz w:val="28"/>
          <w:szCs w:val="28"/>
          <w:lang w:val="ru-RU"/>
        </w:rPr>
        <w:t>Ключев</w:t>
      </w:r>
      <w:r w:rsidRPr="000F16AB">
        <w:rPr>
          <w:sz w:val="28"/>
          <w:szCs w:val="28"/>
          <w:lang w:val="ru-RU"/>
        </w:rPr>
        <w:t>ский</w:t>
      </w:r>
      <w:r w:rsidRPr="00C518F0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8F60B6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0F16AB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9509F">
        <w:rPr>
          <w:sz w:val="28"/>
          <w:szCs w:val="28"/>
          <w:lang w:val="ru-RU"/>
        </w:rPr>
        <w:t xml:space="preserve">В соответствии со </w:t>
      </w:r>
      <w:r w:rsidR="004F49C0">
        <w:rPr>
          <w:sz w:val="28"/>
          <w:szCs w:val="28"/>
          <w:lang w:val="ru-RU"/>
        </w:rPr>
        <w:t xml:space="preserve">статьями </w:t>
      </w:r>
      <w:r w:rsidRPr="0009509F">
        <w:rPr>
          <w:sz w:val="28"/>
          <w:szCs w:val="28"/>
          <w:lang w:val="ru-RU"/>
        </w:rPr>
        <w:t xml:space="preserve">14, 16 Федерального закона от 06.10.2003 </w:t>
      </w:r>
      <w:r w:rsidR="004F49C0">
        <w:rPr>
          <w:sz w:val="28"/>
          <w:szCs w:val="28"/>
          <w:lang w:val="ru-RU"/>
        </w:rPr>
        <w:t xml:space="preserve">        </w:t>
      </w:r>
      <w:r w:rsidRPr="0009509F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>
        <w:rPr>
          <w:sz w:val="28"/>
          <w:szCs w:val="28"/>
          <w:lang w:val="ru-RU"/>
        </w:rPr>
        <w:t xml:space="preserve">атьей </w:t>
      </w:r>
      <w:r w:rsidRPr="0009509F">
        <w:rPr>
          <w:sz w:val="28"/>
          <w:szCs w:val="28"/>
          <w:lang w:val="ru-RU"/>
        </w:rPr>
        <w:t xml:space="preserve">15.1 Федерального закона от 24.11.1995 </w:t>
      </w:r>
      <w:r w:rsidR="004F49C0">
        <w:rPr>
          <w:sz w:val="28"/>
          <w:szCs w:val="28"/>
          <w:lang w:val="ru-RU"/>
        </w:rPr>
        <w:t xml:space="preserve">              </w:t>
      </w:r>
      <w:r w:rsidRPr="0009509F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B51229">
        <w:rPr>
          <w:sz w:val="28"/>
          <w:szCs w:val="28"/>
          <w:lang w:val="ru-RU"/>
        </w:rPr>
        <w:t xml:space="preserve"> (в ред. от 28.12.2024 № 540-ФЗ)</w:t>
      </w:r>
      <w:r w:rsidR="00B51229">
        <w:rPr>
          <w:sz w:val="28"/>
          <w:szCs w:val="28"/>
          <w:lang w:val="ru-RU"/>
        </w:rPr>
        <w:t>,</w:t>
      </w:r>
      <w:r w:rsidR="004F49C0">
        <w:rPr>
          <w:sz w:val="28"/>
          <w:szCs w:val="28"/>
          <w:lang w:val="ru-RU"/>
        </w:rPr>
        <w:t xml:space="preserve"> Уставом муниципального образования </w:t>
      </w:r>
      <w:r w:rsidR="00B4274D" w:rsidRPr="000F16AB">
        <w:rPr>
          <w:sz w:val="28"/>
          <w:szCs w:val="28"/>
          <w:lang w:val="ru-RU"/>
        </w:rPr>
        <w:t>Ключев</w:t>
      </w:r>
      <w:r w:rsidR="004F49C0" w:rsidRPr="000F16AB">
        <w:rPr>
          <w:sz w:val="28"/>
          <w:szCs w:val="28"/>
          <w:lang w:val="ru-RU"/>
        </w:rPr>
        <w:t xml:space="preserve">ский сельсовет Топчихинского района Алтайского края, </w:t>
      </w:r>
      <w:r w:rsidR="00B4274D" w:rsidRPr="000F16AB">
        <w:rPr>
          <w:sz w:val="28"/>
          <w:szCs w:val="28"/>
          <w:lang w:val="ru-RU"/>
        </w:rPr>
        <w:t>Ключев</w:t>
      </w:r>
      <w:r w:rsidRPr="000F16AB">
        <w:rPr>
          <w:sz w:val="28"/>
          <w:szCs w:val="28"/>
          <w:lang w:val="ru-RU"/>
        </w:rPr>
        <w:t xml:space="preserve">ский сельский Совет депутатов </w:t>
      </w:r>
      <w:r w:rsidRPr="000F16AB">
        <w:rPr>
          <w:spacing w:val="40"/>
          <w:sz w:val="28"/>
          <w:szCs w:val="28"/>
          <w:lang w:val="ru-RU"/>
        </w:rPr>
        <w:t>решил:</w:t>
      </w:r>
    </w:p>
    <w:p w:rsidR="00F341F1" w:rsidRPr="000F16AB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0F16AB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B4274D" w:rsidRPr="000F16AB">
        <w:rPr>
          <w:sz w:val="28"/>
          <w:szCs w:val="28"/>
          <w:lang w:val="ru-RU"/>
        </w:rPr>
        <w:t>Ключев</w:t>
      </w:r>
      <w:r w:rsidRPr="000F16AB">
        <w:rPr>
          <w:sz w:val="28"/>
          <w:szCs w:val="28"/>
          <w:lang w:val="ru-RU"/>
        </w:rPr>
        <w:t>ский сельсовет Топчихинского района Алтайского края.</w:t>
      </w:r>
    </w:p>
    <w:p w:rsidR="003B7F59" w:rsidRPr="000F16AB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0F16AB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0F16AB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0F16AB">
        <w:rPr>
          <w:sz w:val="28"/>
          <w:szCs w:val="28"/>
          <w:lang w:val="ru-RU"/>
        </w:rPr>
        <w:t>- от 2</w:t>
      </w:r>
      <w:r w:rsidR="005E5FAD" w:rsidRPr="000F16AB">
        <w:rPr>
          <w:sz w:val="28"/>
          <w:szCs w:val="28"/>
          <w:lang w:val="ru-RU"/>
        </w:rPr>
        <w:t>3</w:t>
      </w:r>
      <w:r w:rsidRPr="000F16AB">
        <w:rPr>
          <w:sz w:val="28"/>
          <w:szCs w:val="28"/>
          <w:lang w:val="ru-RU"/>
        </w:rPr>
        <w:t>.12.2021 № 2</w:t>
      </w:r>
      <w:r w:rsidR="005E5FAD" w:rsidRPr="000F16AB">
        <w:rPr>
          <w:sz w:val="28"/>
          <w:szCs w:val="28"/>
          <w:lang w:val="ru-RU"/>
        </w:rPr>
        <w:t>6</w:t>
      </w:r>
      <w:r w:rsidRPr="000F16AB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E5FAD" w:rsidRPr="000F16AB">
        <w:rPr>
          <w:sz w:val="28"/>
          <w:szCs w:val="28"/>
          <w:lang w:val="ru-RU"/>
        </w:rPr>
        <w:t>Ключев</w:t>
      </w:r>
      <w:r w:rsidRPr="000F16AB">
        <w:rPr>
          <w:sz w:val="28"/>
          <w:szCs w:val="28"/>
          <w:lang w:val="ru-RU"/>
        </w:rPr>
        <w:t>ский сельсовет Топчихинского района Алтайского края»;</w:t>
      </w:r>
    </w:p>
    <w:p w:rsidR="003B7F59" w:rsidRPr="000F16AB" w:rsidRDefault="003B7F59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6AB">
        <w:rPr>
          <w:rFonts w:ascii="Times New Roman" w:hAnsi="Times New Roman" w:cs="Times New Roman"/>
          <w:sz w:val="28"/>
          <w:szCs w:val="28"/>
        </w:rPr>
        <w:t xml:space="preserve">- от </w:t>
      </w:r>
      <w:r w:rsidR="005E5FAD" w:rsidRPr="000F16AB">
        <w:rPr>
          <w:rFonts w:ascii="Times New Roman" w:hAnsi="Times New Roman" w:cs="Times New Roman"/>
          <w:sz w:val="28"/>
          <w:szCs w:val="28"/>
        </w:rPr>
        <w:t>27</w:t>
      </w:r>
      <w:r w:rsidRPr="000F16AB">
        <w:rPr>
          <w:rFonts w:ascii="Times New Roman" w:hAnsi="Times New Roman" w:cs="Times New Roman"/>
          <w:sz w:val="28"/>
          <w:szCs w:val="28"/>
        </w:rPr>
        <w:t>.0</w:t>
      </w:r>
      <w:r w:rsidR="005E5FAD" w:rsidRPr="000F16AB">
        <w:rPr>
          <w:rFonts w:ascii="Times New Roman" w:hAnsi="Times New Roman" w:cs="Times New Roman"/>
          <w:sz w:val="28"/>
          <w:szCs w:val="28"/>
        </w:rPr>
        <w:t>6</w:t>
      </w:r>
      <w:r w:rsidRPr="000F16AB">
        <w:rPr>
          <w:rFonts w:ascii="Times New Roman" w:hAnsi="Times New Roman" w:cs="Times New Roman"/>
          <w:sz w:val="28"/>
          <w:szCs w:val="28"/>
        </w:rPr>
        <w:t>.2024 № 1</w:t>
      </w:r>
      <w:r w:rsidR="005E5FAD" w:rsidRPr="000F16AB">
        <w:rPr>
          <w:rFonts w:ascii="Times New Roman" w:hAnsi="Times New Roman" w:cs="Times New Roman"/>
          <w:sz w:val="28"/>
          <w:szCs w:val="28"/>
        </w:rPr>
        <w:t>4</w:t>
      </w:r>
      <w:r w:rsidRPr="000F16AB">
        <w:rPr>
          <w:rFonts w:ascii="Times New Roman" w:hAnsi="Times New Roman" w:cs="Times New Roman"/>
          <w:sz w:val="28"/>
          <w:szCs w:val="28"/>
        </w:rPr>
        <w:t xml:space="preserve"> «</w:t>
      </w:r>
      <w:r w:rsidR="00A73B6A" w:rsidRPr="000F16A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="00A73B6A" w:rsidRPr="000F16AB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инженерной и транспортной инфраструктур и предоставляемых услуг на территории муниципального образования </w:t>
      </w:r>
      <w:r w:rsidR="005E5FAD" w:rsidRPr="000F16AB">
        <w:rPr>
          <w:rFonts w:ascii="Times New Roman" w:hAnsi="Times New Roman" w:cs="Times New Roman"/>
          <w:sz w:val="28"/>
          <w:szCs w:val="28"/>
        </w:rPr>
        <w:t>Ключев</w:t>
      </w:r>
      <w:r w:rsidR="00A73B6A" w:rsidRPr="000F16AB"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края, утвержденное решением сельского Совета депутатов от 2</w:t>
      </w:r>
      <w:r w:rsidR="005E5FAD" w:rsidRPr="000F16AB">
        <w:rPr>
          <w:rFonts w:ascii="Times New Roman" w:hAnsi="Times New Roman" w:cs="Times New Roman"/>
          <w:sz w:val="28"/>
          <w:szCs w:val="28"/>
        </w:rPr>
        <w:t>3</w:t>
      </w:r>
      <w:r w:rsidR="00A73B6A" w:rsidRPr="000F16AB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5E5FAD" w:rsidRPr="000F16AB">
        <w:rPr>
          <w:rFonts w:ascii="Times New Roman" w:hAnsi="Times New Roman" w:cs="Times New Roman"/>
          <w:sz w:val="28"/>
          <w:szCs w:val="28"/>
        </w:rPr>
        <w:t>26</w:t>
      </w:r>
      <w:r w:rsidRPr="000F16AB">
        <w:rPr>
          <w:rFonts w:ascii="Times New Roman" w:hAnsi="Times New Roman" w:cs="Times New Roman"/>
          <w:sz w:val="28"/>
          <w:szCs w:val="28"/>
        </w:rPr>
        <w:t>».</w:t>
      </w:r>
    </w:p>
    <w:p w:rsidR="00F341F1" w:rsidRPr="0009509F" w:rsidRDefault="00D9137F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41F1" w:rsidRPr="0009509F">
        <w:rPr>
          <w:sz w:val="28"/>
          <w:szCs w:val="28"/>
          <w:lang w:val="ru-RU"/>
        </w:rPr>
        <w:t xml:space="preserve">. </w:t>
      </w:r>
      <w:r w:rsidR="00B51229">
        <w:rPr>
          <w:sz w:val="28"/>
          <w:szCs w:val="28"/>
          <w:lang w:val="ru-RU"/>
        </w:rPr>
        <w:t>Опубликовать н</w:t>
      </w:r>
      <w:r w:rsidR="00F341F1" w:rsidRPr="0009509F">
        <w:rPr>
          <w:sz w:val="28"/>
          <w:szCs w:val="28"/>
          <w:lang w:val="ru-RU"/>
        </w:rPr>
        <w:t xml:space="preserve">астоящее решение в </w:t>
      </w:r>
      <w:r w:rsidR="00B51229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09509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09F">
        <w:rPr>
          <w:rFonts w:ascii="Times New Roman" w:hAnsi="Times New Roman" w:cs="Times New Roman"/>
          <w:sz w:val="28"/>
          <w:szCs w:val="28"/>
        </w:rPr>
        <w:t xml:space="preserve">. </w:t>
      </w:r>
      <w:r w:rsidRPr="00E61E8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61E8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1E8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Pr="00E61E8F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Pr="000950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E5F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Т.Н. Карманова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5E5FAD">
        <w:rPr>
          <w:sz w:val="28"/>
          <w:szCs w:val="28"/>
          <w:lang w:val="ru-RU"/>
        </w:rPr>
        <w:t>25.03.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5E5FAD">
        <w:rPr>
          <w:sz w:val="28"/>
          <w:szCs w:val="28"/>
          <w:lang w:val="ru-RU"/>
        </w:rPr>
        <w:t>4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6B4E24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bookmarkStart w:id="1" w:name="_Hlk88250861"/>
      <w:r w:rsidR="005E5FAD" w:rsidRPr="006B4E24">
        <w:rPr>
          <w:sz w:val="28"/>
          <w:szCs w:val="28"/>
          <w:lang w:val="ru-RU"/>
        </w:rPr>
        <w:t>Ключев</w:t>
      </w:r>
      <w:r w:rsidRPr="006B4E24">
        <w:rPr>
          <w:sz w:val="28"/>
          <w:szCs w:val="28"/>
          <w:lang w:val="ru-RU"/>
        </w:rPr>
        <w:t>ский</w:t>
      </w:r>
      <w:bookmarkEnd w:id="1"/>
      <w:r w:rsidRPr="006B4E24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6B4E24" w:rsidRDefault="00F341F1" w:rsidP="00F341F1">
      <w:pPr>
        <w:rPr>
          <w:lang w:val="ru-RU"/>
        </w:rPr>
      </w:pPr>
    </w:p>
    <w:p w:rsidR="00F341F1" w:rsidRPr="006B4E24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6B4E24">
        <w:rPr>
          <w:b/>
          <w:sz w:val="28"/>
          <w:szCs w:val="28"/>
          <w:lang w:val="ru-RU"/>
        </w:rPr>
        <w:t>1. Общие положения</w:t>
      </w:r>
    </w:p>
    <w:p w:rsidR="00F341F1" w:rsidRPr="006B4E24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6B4E24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B4E24">
        <w:rPr>
          <w:sz w:val="28"/>
          <w:szCs w:val="28"/>
          <w:lang w:val="ru-RU"/>
        </w:rPr>
        <w:t>1.</w:t>
      </w:r>
      <w:r w:rsidR="00610FDA" w:rsidRPr="006B4E24">
        <w:rPr>
          <w:sz w:val="28"/>
          <w:szCs w:val="28"/>
          <w:lang w:val="ru-RU"/>
        </w:rPr>
        <w:t>1.</w:t>
      </w:r>
      <w:r w:rsidRPr="006B4E24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E5FAD" w:rsidRPr="006B4E24">
        <w:rPr>
          <w:sz w:val="28"/>
          <w:szCs w:val="28"/>
          <w:lang w:val="ru-RU"/>
        </w:rPr>
        <w:t>Ключев</w:t>
      </w:r>
      <w:r w:rsidRPr="006B4E24">
        <w:rPr>
          <w:sz w:val="28"/>
          <w:szCs w:val="28"/>
          <w:lang w:val="ru-RU"/>
        </w:rPr>
        <w:t>ский сельсовет Топчихинского района Алтайского края (далее – муниципальный контроль).</w:t>
      </w:r>
    </w:p>
    <w:p w:rsidR="00F341F1" w:rsidRPr="006B4E24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B4E24">
        <w:rPr>
          <w:sz w:val="28"/>
          <w:szCs w:val="28"/>
          <w:lang w:val="ru-RU"/>
        </w:rPr>
        <w:t>1.</w:t>
      </w:r>
      <w:r w:rsidR="00F341F1" w:rsidRPr="006B4E24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B4E24">
        <w:rPr>
          <w:sz w:val="28"/>
          <w:szCs w:val="28"/>
          <w:lang w:val="ru-RU"/>
        </w:rPr>
        <w:t>1.</w:t>
      </w:r>
      <w:r w:rsidR="00F341F1" w:rsidRPr="006B4E24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5E5FAD" w:rsidRPr="006B4E24">
        <w:rPr>
          <w:sz w:val="28"/>
          <w:szCs w:val="28"/>
          <w:lang w:val="ru-RU"/>
        </w:rPr>
        <w:t>Ключев</w:t>
      </w:r>
      <w:r w:rsidR="00F341F1" w:rsidRPr="006B4E24">
        <w:rPr>
          <w:sz w:val="28"/>
          <w:szCs w:val="28"/>
          <w:lang w:val="ru-RU"/>
        </w:rPr>
        <w:t xml:space="preserve">ского </w:t>
      </w:r>
      <w:r w:rsidR="00F341F1" w:rsidRPr="00C518F0">
        <w:rPr>
          <w:sz w:val="28"/>
          <w:szCs w:val="28"/>
          <w:lang w:val="ru-RU"/>
        </w:rPr>
        <w:t>сельсовета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6B4E24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1) Глава Администрации </w:t>
      </w:r>
      <w:r w:rsidR="005E5FAD" w:rsidRPr="006B4E24">
        <w:rPr>
          <w:sz w:val="28"/>
          <w:szCs w:val="28"/>
          <w:lang w:val="ru-RU"/>
        </w:rPr>
        <w:t>Ключев</w:t>
      </w:r>
      <w:r w:rsidRPr="006B4E24">
        <w:rPr>
          <w:sz w:val="28"/>
          <w:szCs w:val="28"/>
          <w:lang w:val="ru-RU"/>
        </w:rPr>
        <w:t>ского сельсовета;</w:t>
      </w:r>
    </w:p>
    <w:p w:rsidR="00F341F1" w:rsidRPr="006B4E24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B4E24">
        <w:rPr>
          <w:sz w:val="28"/>
          <w:szCs w:val="28"/>
          <w:lang w:val="ru-RU"/>
        </w:rPr>
        <w:t xml:space="preserve"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E5FAD" w:rsidRPr="006B4E24">
        <w:rPr>
          <w:sz w:val="28"/>
          <w:szCs w:val="28"/>
          <w:lang w:val="ru-RU"/>
        </w:rPr>
        <w:t>Ключев</w:t>
      </w:r>
      <w:r w:rsidRPr="006B4E24">
        <w:rPr>
          <w:sz w:val="28"/>
          <w:szCs w:val="28"/>
          <w:lang w:val="ru-RU"/>
        </w:rPr>
        <w:t>ский сельсовет Топчихинского района Алтайского края.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 охраняемым</w:t>
      </w:r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управления рисками причинения вреда (ущерба), определяющего выбор профилактических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2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</w:t>
      </w:r>
      <w:r w:rsidRPr="001825D3">
        <w:rPr>
          <w:rFonts w:ascii="Times New Roman" w:hAnsi="Times New Roman"/>
          <w:sz w:val="28"/>
          <w:szCs w:val="28"/>
        </w:rPr>
        <w:lastRenderedPageBreak/>
        <w:t>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6F3F13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3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522182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r w:rsidRPr="009209FF">
        <w:rPr>
          <w:rFonts w:ascii="Times New Roman" w:eastAsia="Calibri" w:hAnsi="Times New Roman"/>
          <w:b/>
          <w:sz w:val="28"/>
          <w:szCs w:val="28"/>
        </w:rPr>
        <w:t>Профилактика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контрольным органом в целях, 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определенных частью 1 </w:t>
      </w:r>
      <w:r>
        <w:rPr>
          <w:rFonts w:ascii="Times New Roman" w:eastAsia="Calibri" w:hAnsi="Times New Roman"/>
          <w:color w:val="auto"/>
          <w:sz w:val="28"/>
          <w:szCs w:val="28"/>
        </w:rPr>
        <w:t>статьи 44 Федерального закона №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248-ФЗ, </w:t>
      </w:r>
      <w:r>
        <w:rPr>
          <w:rFonts w:ascii="Times New Roman" w:eastAsia="Calibri" w:hAnsi="Times New Roman"/>
          <w:sz w:val="28"/>
          <w:szCs w:val="28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15424"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15424">
        <w:rPr>
          <w:rFonts w:ascii="Times New Roman" w:hAnsi="Times New Roman"/>
          <w:color w:val="auto"/>
          <w:sz w:val="28"/>
          <w:szCs w:val="28"/>
        </w:rPr>
        <w:t>Если иное не установлено Федеральным законом № 248-ФЗ</w:t>
      </w:r>
      <w:r w:rsidRPr="00515424">
        <w:rPr>
          <w:rFonts w:ascii="Times New Roman" w:hAnsi="Times New Roman"/>
          <w:sz w:val="28"/>
          <w:szCs w:val="28"/>
        </w:rPr>
        <w:t xml:space="preserve"> 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515424">
        <w:rPr>
          <w:rFonts w:ascii="Times New Roman" w:hAnsi="Times New Roman"/>
          <w:color w:val="auto"/>
          <w:sz w:val="28"/>
          <w:szCs w:val="28"/>
          <w:lang w:eastAsia="ru-RU"/>
        </w:rPr>
        <w:t>ли</w:t>
      </w:r>
      <w:r w:rsidRPr="00515424">
        <w:rPr>
          <w:rFonts w:ascii="Times New Roman" w:hAnsi="Times New Roman"/>
          <w:color w:val="auto"/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515424">
          <w:rPr>
            <w:rFonts w:ascii="Times New Roman" w:hAnsi="Times New Roman"/>
            <w:color w:val="auto"/>
            <w:sz w:val="28"/>
            <w:szCs w:val="28"/>
          </w:rPr>
          <w:t>статье 90</w:t>
        </w:r>
      </w:hyperlink>
      <w:r w:rsidRPr="00515424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>
        <w:rPr>
          <w:rFonts w:ascii="Times New Roman" w:hAnsi="Times New Roman"/>
          <w:sz w:val="28"/>
          <w:szCs w:val="28"/>
          <w:lang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онтрольного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4" w:name="P85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/>
          <w:sz w:val="28"/>
          <w:szCs w:val="28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/>
          <w:sz w:val="28"/>
          <w:szCs w:val="28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профилактический визит.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Информирование осуществляется посредством размещения сведений, </w:t>
      </w:r>
      <w:r w:rsidRPr="00B935DF">
        <w:rPr>
          <w:rFonts w:ascii="Times New Roman" w:eastAsia="Calibri" w:hAnsi="Times New Roman"/>
          <w:sz w:val="28"/>
          <w:szCs w:val="28"/>
        </w:rPr>
        <w:t xml:space="preserve">предусмотренных </w:t>
      </w:r>
      <w:r w:rsidRPr="00B935DF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</w:rPr>
        <w:t>частью 3 статьи 46</w:t>
      </w:r>
      <w:r w:rsidRPr="00B935DF">
        <w:rPr>
          <w:rFonts w:ascii="Times New Roman" w:eastAsia="Calibri" w:hAnsi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sz w:val="28"/>
          <w:szCs w:val="28"/>
        </w:rPr>
        <w:t xml:space="preserve">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5" w:name="P146_Копия_1"/>
      <w:bookmarkEnd w:id="5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</w:t>
      </w:r>
      <w:r>
        <w:rPr>
          <w:rFonts w:ascii="Times New Roman" w:eastAsia="Calibri" w:hAnsi="Times New Roman"/>
          <w:sz w:val="28"/>
          <w:szCs w:val="28"/>
        </w:rPr>
        <w:lastRenderedPageBreak/>
        <w:t>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515424">
        <w:rPr>
          <w:rFonts w:ascii="Times New Roman" w:eastAsia="Calibri" w:hAnsi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="00610FDA" w:rsidRPr="00515424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610FDA" w:rsidRPr="00515424">
        <w:rPr>
          <w:rFonts w:ascii="Times New Roman" w:eastAsia="Calibri" w:hAnsi="Times New Roman"/>
          <w:sz w:val="28"/>
          <w:szCs w:val="28"/>
        </w:rPr>
        <w:t>-связи</w:t>
      </w:r>
      <w:proofErr w:type="gramEnd"/>
      <w:r w:rsidR="00610FDA" w:rsidRPr="00515424">
        <w:rPr>
          <w:rFonts w:ascii="Times New Roman" w:eastAsia="Calibri" w:hAnsi="Times New Roman"/>
          <w:sz w:val="28"/>
          <w:szCs w:val="28"/>
        </w:rPr>
        <w:t xml:space="preserve">, на личном приеме, либо в ходе проведения профилактических мероприятий, контрольных мероприятий, </w:t>
      </w:r>
      <w:r w:rsidR="00610FDA" w:rsidRPr="00515424">
        <w:rPr>
          <w:rFonts w:ascii="Times New Roman" w:hAnsi="Times New Roman"/>
          <w:color w:val="000000"/>
          <w:sz w:val="28"/>
          <w:szCs w:val="28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515424">
        <w:rPr>
          <w:rFonts w:ascii="Times New Roman" w:eastAsia="Calibri" w:hAnsi="Times New Roman"/>
          <w:sz w:val="28"/>
          <w:szCs w:val="28"/>
        </w:rPr>
        <w:t>Время консультирования не должно превышать</w:t>
      </w:r>
      <w:r w:rsidR="00610FDA">
        <w:rPr>
          <w:rFonts w:ascii="Times New Roman" w:eastAsia="Calibri" w:hAnsi="Times New Roman"/>
          <w:sz w:val="28"/>
          <w:szCs w:val="28"/>
        </w:rPr>
        <w:t xml:space="preserve">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>
        <w:rPr>
          <w:rFonts w:ascii="Times New Roman" w:eastAsia="Calibri" w:hAnsi="Times New Roman"/>
          <w:sz w:val="28"/>
          <w:szCs w:val="28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>
        <w:rPr>
          <w:rFonts w:ascii="Times New Roman" w:eastAsia="Calibri" w:hAnsi="Times New Roman"/>
          <w:sz w:val="28"/>
          <w:szCs w:val="28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>
        <w:rPr>
          <w:rFonts w:ascii="Times New Roman" w:eastAsia="Calibri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515424">
        <w:rPr>
          <w:rFonts w:ascii="Times New Roman" w:hAnsi="Times New Roman"/>
          <w:color w:val="auto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hAnsi="Times New Roman"/>
          <w:color w:val="auto"/>
          <w:sz w:val="28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515424">
        <w:rPr>
          <w:rFonts w:ascii="Times New Roman" w:hAnsi="Times New Roman"/>
          <w:color w:val="auto"/>
          <w:sz w:val="28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515424">
        <w:rPr>
          <w:rFonts w:ascii="Times New Roman" w:hAnsi="Times New Roman"/>
          <w:color w:val="auto"/>
          <w:sz w:val="28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515424">
        <w:rPr>
          <w:rFonts w:ascii="Times New Roman" w:hAnsi="Times New Roman"/>
          <w:color w:val="auto"/>
          <w:sz w:val="28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515424">
        <w:rPr>
          <w:rFonts w:ascii="Times New Roman" w:hAnsi="Times New Roman"/>
          <w:color w:val="auto"/>
          <w:sz w:val="28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>
        <w:rPr>
          <w:rFonts w:ascii="Times New Roman" w:hAnsi="Times New Roman"/>
          <w:color w:val="auto"/>
          <w:sz w:val="28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515424">
        <w:rPr>
          <w:rFonts w:ascii="Times New Roman" w:hAnsi="Times New Roman"/>
          <w:color w:val="auto"/>
          <w:sz w:val="28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515424">
        <w:rPr>
          <w:rFonts w:ascii="Times New Roman" w:hAnsi="Times New Roman"/>
          <w:color w:val="auto"/>
          <w:sz w:val="28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515424">
        <w:rPr>
          <w:rFonts w:ascii="Times New Roman" w:hAnsi="Times New Roman"/>
          <w:color w:val="auto"/>
          <w:sz w:val="28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>
        <w:rPr>
          <w:rFonts w:ascii="Times New Roman" w:eastAsia="Calibri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25BB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Pr="000E348D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7" w:history="1">
        <w:r w:rsidRPr="000E348D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 w:rsidRPr="000E348D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>
        <w:rPr>
          <w:rFonts w:ascii="Times New Roman" w:hAnsi="Times New Roman"/>
          <w:sz w:val="28"/>
          <w:szCs w:val="28"/>
        </w:rPr>
        <w:t xml:space="preserve">Контролируемое лицо в течение </w:t>
      </w:r>
      <w:r w:rsidR="00610FDA" w:rsidRPr="008025BB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610FDA">
        <w:rPr>
          <w:rFonts w:ascii="Times New Roman" w:hAnsi="Times New Roman"/>
          <w:sz w:val="28"/>
          <w:szCs w:val="28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Pr="00F12C8D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>
        <w:rPr>
          <w:rFonts w:ascii="Times New Roman" w:hAnsi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 xml:space="preserve">15 </w:t>
      </w:r>
      <w:r w:rsidR="00610FDA">
        <w:rPr>
          <w:rFonts w:ascii="Times New Roman" w:hAnsi="Times New Roman"/>
          <w:sz w:val="28"/>
          <w:szCs w:val="28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209FF">
        <w:rPr>
          <w:rFonts w:ascii="Times New Roman" w:eastAsia="Calibri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E9568E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9568E">
        <w:rPr>
          <w:rFonts w:ascii="Times New Roman" w:hAnsi="Times New Roman"/>
          <w:bCs/>
          <w:color w:val="auto"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9568E">
        <w:rPr>
          <w:rFonts w:ascii="Times New Roman" w:hAnsi="Times New Roman"/>
          <w:bCs/>
          <w:color w:val="auto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10FDA">
        <w:rPr>
          <w:rFonts w:ascii="Times New Roman" w:eastAsia="Calibri" w:hAnsi="Times New Roman"/>
          <w:color w:val="FF3333"/>
          <w:sz w:val="28"/>
          <w:szCs w:val="28"/>
        </w:rPr>
        <w:t xml:space="preserve"> </w:t>
      </w:r>
      <w:r w:rsidR="00610FDA" w:rsidRPr="00CE1562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color w:val="auto"/>
          <w:sz w:val="28"/>
          <w:szCs w:val="28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4.4</w:t>
      </w:r>
      <w:r>
        <w:rPr>
          <w:rFonts w:ascii="Times New Roman" w:eastAsia="Calibri" w:hAnsi="Times New Roman"/>
          <w:sz w:val="28"/>
          <w:szCs w:val="28"/>
        </w:rPr>
        <w:t xml:space="preserve">. Для проведения контрольного мероприятия, </w:t>
      </w: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в котором указываются сведения, предусмотренные частью 1 статьи 64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4.5. 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CE1562">
          <w:rPr>
            <w:rFonts w:ascii="Times New Roman" w:hAnsi="Times New Roman"/>
            <w:color w:val="auto"/>
            <w:sz w:val="28"/>
            <w:szCs w:val="28"/>
          </w:rPr>
          <w:t xml:space="preserve"> статьей 57</w:t>
        </w:r>
      </w:hyperlink>
      <w:r w:rsidRPr="00CE1562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sz w:val="28"/>
          <w:szCs w:val="28"/>
        </w:rPr>
        <w:t xml:space="preserve"> органа, подписанного  уполномоченным должностным лицом, указанным в </w:t>
      </w:r>
      <w:hyperlink r:id="rId9" w:history="1">
        <w:r w:rsidRPr="00CE1562">
          <w:rPr>
            <w:rFonts w:ascii="Times New Roman" w:hAnsi="Times New Roman"/>
            <w:sz w:val="28"/>
            <w:szCs w:val="28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1562">
        <w:rPr>
          <w:rFonts w:ascii="Times New Roman" w:hAnsi="Times New Roman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E1562">
          <w:rPr>
            <w:rFonts w:ascii="Times New Roman" w:hAnsi="Times New Roman"/>
            <w:sz w:val="28"/>
            <w:szCs w:val="28"/>
          </w:rPr>
          <w:t>частью 1 статьи 64</w:t>
        </w:r>
      </w:hyperlink>
      <w:r w:rsidRPr="00CE156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 xml:space="preserve">) выдавать предписания об устранении выявленных нарушений </w:t>
      </w:r>
      <w:r w:rsidR="00610FDA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 w:rsidR="00610FDA">
        <w:rPr>
          <w:rFonts w:ascii="Times New Roman" w:hAnsi="Times New Roman"/>
          <w:sz w:val="28"/>
          <w:szCs w:val="28"/>
        </w:rPr>
        <w:t xml:space="preserve">, </w:t>
      </w:r>
      <w:r w:rsidR="00610FDA" w:rsidRPr="00EA00F6">
        <w:rPr>
          <w:rFonts w:ascii="Times New Roman" w:hAnsi="Times New Roman"/>
          <w:color w:val="auto"/>
          <w:sz w:val="28"/>
          <w:szCs w:val="28"/>
        </w:rPr>
        <w:t>выявленных в ходе наблюдения за соблюдением обязательных требований (мониторинга безопасности)</w:t>
      </w:r>
      <w:r w:rsidR="00610FDA" w:rsidRPr="00EA00F6">
        <w:rPr>
          <w:color w:val="auto"/>
        </w:rPr>
        <w:t xml:space="preserve"> </w:t>
      </w:r>
      <w:r w:rsidR="00610FDA" w:rsidRPr="00EA00F6">
        <w:rPr>
          <w:rFonts w:ascii="Times New Roman" w:eastAsia="Calibri" w:hAnsi="Times New Roman"/>
          <w:color w:val="auto"/>
          <w:sz w:val="28"/>
          <w:szCs w:val="28"/>
        </w:rPr>
        <w:t xml:space="preserve">с </w:t>
      </w:r>
      <w:r w:rsidR="00610FDA">
        <w:rPr>
          <w:rFonts w:ascii="Times New Roman" w:eastAsia="Calibri" w:hAnsi="Times New Roman"/>
          <w:sz w:val="28"/>
          <w:szCs w:val="28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>
        <w:rPr>
          <w:rFonts w:ascii="Times New Roman" w:eastAsia="Calibri" w:hAnsi="Times New Roman"/>
          <w:sz w:val="28"/>
          <w:szCs w:val="28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209F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</w:t>
      </w:r>
      <w:r>
        <w:rPr>
          <w:rFonts w:ascii="Times New Roman" w:hAnsi="Times New Roman"/>
          <w:sz w:val="28"/>
          <w:szCs w:val="28"/>
        </w:rPr>
        <w:lastRenderedPageBreak/>
        <w:t xml:space="preserve">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предусмотренном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частями 4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5 статьи 21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76E"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>
        <w:rPr>
          <w:rFonts w:ascii="Times New Roman" w:hAnsi="Times New Roman"/>
          <w:sz w:val="28"/>
          <w:szCs w:val="28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BA2FC6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BA2FC6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>
        <w:rPr>
          <w:rFonts w:ascii="Times New Roman" w:eastAsia="Calibri" w:hAnsi="Times New Roman"/>
          <w:sz w:val="28"/>
          <w:szCs w:val="28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3F67CD">
        <w:rPr>
          <w:rFonts w:ascii="Times New Roman" w:hAnsi="Times New Roman"/>
          <w:color w:val="auto"/>
          <w:sz w:val="28"/>
          <w:szCs w:val="28"/>
        </w:rPr>
        <w:t>онтрольным</w:t>
      </w:r>
      <w:proofErr w:type="spellEnd"/>
      <w:r w:rsidRPr="003F67CD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По окончании проведения контрольного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B803A3">
        <w:rPr>
          <w:rFonts w:ascii="Times New Roman" w:hAnsi="Times New Roman"/>
          <w:color w:val="auto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B803A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Pr="003104A1">
        <w:rPr>
          <w:rFonts w:ascii="Times New Roman" w:hAnsi="Times New Roman"/>
          <w:color w:val="auto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контрольного 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статьями 39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43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89D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закона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2"/>
      <w:bookmarkEnd w:id="3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1"/>
    <w:rsid w:val="000E348D"/>
    <w:rsid w:val="000F16AB"/>
    <w:rsid w:val="00116350"/>
    <w:rsid w:val="001B7E08"/>
    <w:rsid w:val="00322C7D"/>
    <w:rsid w:val="003B7F59"/>
    <w:rsid w:val="003C576E"/>
    <w:rsid w:val="003E489D"/>
    <w:rsid w:val="00432D00"/>
    <w:rsid w:val="004F49C0"/>
    <w:rsid w:val="005E5FAD"/>
    <w:rsid w:val="00610FDA"/>
    <w:rsid w:val="006B3404"/>
    <w:rsid w:val="006B4E24"/>
    <w:rsid w:val="006F3F13"/>
    <w:rsid w:val="00A227A7"/>
    <w:rsid w:val="00A73B6A"/>
    <w:rsid w:val="00A8614F"/>
    <w:rsid w:val="00B4274D"/>
    <w:rsid w:val="00B51229"/>
    <w:rsid w:val="00B52A0B"/>
    <w:rsid w:val="00B935DF"/>
    <w:rsid w:val="00C22EC4"/>
    <w:rsid w:val="00CC102E"/>
    <w:rsid w:val="00D66053"/>
    <w:rsid w:val="00D9137F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2AC6-6F9F-40B3-BE85-31BCF9E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  <w:lang w:val="x-none" w:eastAsia="x-none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27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E5B4-7355-4B4D-AD83-B5AF5BB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24</cp:revision>
  <cp:lastPrinted>2025-03-21T09:16:00Z</cp:lastPrinted>
  <dcterms:created xsi:type="dcterms:W3CDTF">2025-03-04T09:02:00Z</dcterms:created>
  <dcterms:modified xsi:type="dcterms:W3CDTF">2025-03-26T07:40:00Z</dcterms:modified>
</cp:coreProperties>
</file>