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638"/>
      </w:tblGrid>
      <w:tr w:rsidR="00352914" w:rsidTr="00CA7C5D">
        <w:trPr>
          <w:tblCellSpacing w:w="0" w:type="dxa"/>
        </w:trPr>
        <w:tc>
          <w:tcPr>
            <w:tcW w:w="0" w:type="auto"/>
            <w:vAlign w:val="center"/>
            <w:hideMark/>
          </w:tcPr>
          <w:p w:rsidR="00352914" w:rsidRDefault="00352914" w:rsidP="00CA7C5D">
            <w:pPr>
              <w:spacing w:line="276" w:lineRule="auto"/>
              <w:jc w:val="center"/>
              <w:rPr>
                <w:b/>
                <w:bCs/>
                <w:sz w:val="28"/>
                <w:szCs w:val="28"/>
              </w:rPr>
            </w:pPr>
            <w:r>
              <w:rPr>
                <w:b/>
                <w:bCs/>
                <w:sz w:val="28"/>
                <w:szCs w:val="28"/>
              </w:rPr>
              <w:t>Информация о социально-экономическом развитии</w:t>
            </w:r>
          </w:p>
        </w:tc>
      </w:tr>
      <w:tr w:rsidR="00352914" w:rsidTr="00CA7C5D">
        <w:trPr>
          <w:tblCellSpacing w:w="0" w:type="dxa"/>
        </w:trPr>
        <w:tc>
          <w:tcPr>
            <w:tcW w:w="0" w:type="auto"/>
            <w:tcBorders>
              <w:bottom w:val="single" w:sz="8" w:space="0" w:color="000000"/>
            </w:tcBorders>
            <w:vAlign w:val="center"/>
            <w:hideMark/>
          </w:tcPr>
          <w:p w:rsidR="00352914" w:rsidRDefault="00352914" w:rsidP="00CA7C5D">
            <w:pPr>
              <w:spacing w:line="276" w:lineRule="auto"/>
              <w:jc w:val="center"/>
              <w:rPr>
                <w:sz w:val="28"/>
                <w:szCs w:val="28"/>
              </w:rPr>
            </w:pPr>
            <w:r>
              <w:rPr>
                <w:b/>
                <w:bCs/>
                <w:sz w:val="28"/>
                <w:szCs w:val="28"/>
              </w:rPr>
              <w:t>Топчихинского района</w:t>
            </w:r>
            <w:r>
              <w:rPr>
                <w:b/>
                <w:bCs/>
                <w:sz w:val="28"/>
                <w:szCs w:val="28"/>
                <w:lang w:val="en-US"/>
              </w:rPr>
              <w:t xml:space="preserve"> </w:t>
            </w:r>
            <w:r>
              <w:rPr>
                <w:b/>
                <w:bCs/>
                <w:sz w:val="28"/>
                <w:szCs w:val="28"/>
              </w:rPr>
              <w:t xml:space="preserve">в </w:t>
            </w:r>
            <w:r>
              <w:rPr>
                <w:b/>
                <w:bCs/>
                <w:sz w:val="28"/>
                <w:szCs w:val="28"/>
                <w:lang w:val="en-US"/>
              </w:rPr>
              <w:t>2024</w:t>
            </w:r>
            <w:r w:rsidR="00FC4847">
              <w:rPr>
                <w:b/>
                <w:bCs/>
                <w:sz w:val="28"/>
                <w:szCs w:val="28"/>
              </w:rPr>
              <w:t xml:space="preserve"> году</w:t>
            </w:r>
          </w:p>
        </w:tc>
      </w:tr>
    </w:tbl>
    <w:p w:rsidR="00352914" w:rsidRDefault="00352914" w:rsidP="00352914">
      <w:pPr>
        <w:spacing w:before="240" w:after="240" w:line="276" w:lineRule="auto"/>
        <w:jc w:val="center"/>
      </w:pPr>
      <w:r>
        <w:rPr>
          <w:rStyle w:val="a3"/>
          <w:sz w:val="28"/>
          <w:szCs w:val="28"/>
        </w:rPr>
        <w:t xml:space="preserve">Промышленное производство </w:t>
      </w:r>
    </w:p>
    <w:p w:rsidR="00352914" w:rsidRPr="00352914" w:rsidRDefault="00352914" w:rsidP="00352914">
      <w:pPr>
        <w:ind w:firstLine="709"/>
        <w:jc w:val="both"/>
        <w:rPr>
          <w:sz w:val="28"/>
          <w:szCs w:val="28"/>
        </w:rPr>
      </w:pPr>
      <w:r w:rsidRPr="00352914">
        <w:rPr>
          <w:sz w:val="28"/>
          <w:szCs w:val="28"/>
        </w:rPr>
        <w:t>Объём отгруженных товаров собственного производства, выполненных работ и услуг собственными силами промышленных предприятий района в стоимостном выражении составил 3,0 млрд. руб., что выше уровня прошлого года на 18,4 %. Индекс промышленного производства составил 112,1 %, в краевом рейтинге по индексу промышленного производства район занимает 11 позицию, по объему промышленной продукции на душу населения - 15 позицию.</w:t>
      </w:r>
    </w:p>
    <w:p w:rsidR="00352914" w:rsidRPr="00352914" w:rsidRDefault="00352914" w:rsidP="00352914">
      <w:pPr>
        <w:ind w:firstLine="709"/>
        <w:jc w:val="both"/>
        <w:rPr>
          <w:sz w:val="28"/>
          <w:szCs w:val="28"/>
        </w:rPr>
      </w:pPr>
      <w:r w:rsidRPr="00352914">
        <w:rPr>
          <w:sz w:val="28"/>
          <w:szCs w:val="28"/>
        </w:rPr>
        <w:t xml:space="preserve">Предприятиями увеличены объёмы производства мяса и субпродуктов (на 40,4 %), колбасных изделий (на 24,9 %), муки (на 8,9 %), круп (на 40,7 %), кондитерских изделий (на 6,2 %), концентратов и смесей кормовых (в 1,8 раза), товарного бетона (в 1,6 раза), древесины топливной (в 1,6 раза), лесоматериалов хвойных пород (в 5 раз). Снижено производство хлебобулочных изделий (на 16,7 %), кормов растительных (на 22%).       </w:t>
      </w:r>
    </w:p>
    <w:p w:rsidR="00352914" w:rsidRPr="00352914" w:rsidRDefault="00352914" w:rsidP="00352914">
      <w:pPr>
        <w:tabs>
          <w:tab w:val="left" w:pos="0"/>
        </w:tabs>
        <w:ind w:firstLine="709"/>
        <w:jc w:val="both"/>
        <w:rPr>
          <w:sz w:val="28"/>
          <w:szCs w:val="28"/>
        </w:rPr>
      </w:pPr>
      <w:r w:rsidRPr="00352914">
        <w:rPr>
          <w:sz w:val="28"/>
          <w:szCs w:val="28"/>
        </w:rPr>
        <w:t xml:space="preserve">Стабильно работает ООО «ПО «Топчихинский мелькомбинат» (производство муки, крупы), ООО «ГИК» (производство крупы), ООО «Содружество» (деревообрабатывающее производство), ООО «Мясная линия </w:t>
      </w:r>
      <w:proofErr w:type="spellStart"/>
      <w:r w:rsidRPr="00352914">
        <w:rPr>
          <w:sz w:val="28"/>
          <w:szCs w:val="28"/>
        </w:rPr>
        <w:t>Топчихинских</w:t>
      </w:r>
      <w:proofErr w:type="spellEnd"/>
      <w:r w:rsidRPr="00352914">
        <w:rPr>
          <w:sz w:val="28"/>
          <w:szCs w:val="28"/>
        </w:rPr>
        <w:t xml:space="preserve"> хозяйств» (производство мяса и колбасных изделий), ООО "Консул-Алтай" (производство хлебобулочных изделий). </w:t>
      </w:r>
    </w:p>
    <w:p w:rsidR="00352914" w:rsidRDefault="00352914" w:rsidP="00352914">
      <w:pPr>
        <w:tabs>
          <w:tab w:val="left" w:pos="0"/>
        </w:tabs>
        <w:ind w:firstLine="709"/>
        <w:jc w:val="both"/>
        <w:rPr>
          <w:sz w:val="28"/>
          <w:szCs w:val="28"/>
        </w:rPr>
      </w:pPr>
      <w:r w:rsidRPr="00352914">
        <w:rPr>
          <w:sz w:val="28"/>
          <w:szCs w:val="28"/>
        </w:rPr>
        <w:t>Важнейшей задачей в промышленном производстве района остается расширение номенклатуры и</w:t>
      </w:r>
      <w:bookmarkStart w:id="0" w:name="_GoBack"/>
      <w:bookmarkEnd w:id="0"/>
      <w:r w:rsidRPr="00352914">
        <w:rPr>
          <w:sz w:val="28"/>
          <w:szCs w:val="28"/>
        </w:rPr>
        <w:t xml:space="preserve"> повышение качества производимой продукции, а также создание условий для привлечения в район инвестиций для создания новых предприятий и производств.</w:t>
      </w:r>
    </w:p>
    <w:p w:rsidR="00352914" w:rsidRPr="00352914" w:rsidRDefault="00352914" w:rsidP="00352914">
      <w:pPr>
        <w:tabs>
          <w:tab w:val="left" w:pos="709"/>
        </w:tabs>
        <w:jc w:val="both"/>
        <w:rPr>
          <w:sz w:val="28"/>
          <w:szCs w:val="28"/>
        </w:rPr>
      </w:pPr>
    </w:p>
    <w:p w:rsidR="00352914" w:rsidRDefault="00352914" w:rsidP="00352914">
      <w:pPr>
        <w:ind w:left="426" w:hanging="142"/>
        <w:jc w:val="center"/>
        <w:rPr>
          <w:rStyle w:val="a3"/>
          <w:sz w:val="28"/>
          <w:szCs w:val="28"/>
        </w:rPr>
      </w:pPr>
      <w:r w:rsidRPr="00352914">
        <w:rPr>
          <w:rStyle w:val="a3"/>
          <w:sz w:val="28"/>
          <w:szCs w:val="28"/>
        </w:rPr>
        <w:t xml:space="preserve">Сельскохозяйственное производство </w:t>
      </w:r>
    </w:p>
    <w:p w:rsidR="00352914" w:rsidRPr="00352914" w:rsidRDefault="00352914" w:rsidP="00352914">
      <w:pPr>
        <w:ind w:left="426" w:hanging="142"/>
        <w:jc w:val="center"/>
        <w:rPr>
          <w:sz w:val="28"/>
          <w:szCs w:val="28"/>
        </w:rPr>
      </w:pPr>
    </w:p>
    <w:p w:rsidR="00352914" w:rsidRPr="00352914" w:rsidRDefault="00352914" w:rsidP="00352914">
      <w:pPr>
        <w:tabs>
          <w:tab w:val="left" w:pos="0"/>
        </w:tabs>
        <w:ind w:firstLine="709"/>
        <w:jc w:val="both"/>
        <w:rPr>
          <w:sz w:val="28"/>
          <w:szCs w:val="28"/>
        </w:rPr>
      </w:pPr>
      <w:r w:rsidRPr="00352914">
        <w:rPr>
          <w:sz w:val="28"/>
          <w:szCs w:val="28"/>
        </w:rPr>
        <w:t xml:space="preserve"> Аграрии района, несмотря на погодные аномалии, традиционно на высоком уровне провели посевную и уборочную кампании, обеспечили животноводство необходимым запасом кормов.</w:t>
      </w:r>
    </w:p>
    <w:p w:rsidR="00352914" w:rsidRPr="00352914" w:rsidRDefault="00352914" w:rsidP="00352914">
      <w:pPr>
        <w:tabs>
          <w:tab w:val="left" w:pos="0"/>
        </w:tabs>
        <w:ind w:firstLine="709"/>
        <w:jc w:val="both"/>
        <w:rPr>
          <w:sz w:val="28"/>
          <w:szCs w:val="28"/>
        </w:rPr>
      </w:pPr>
      <w:r w:rsidRPr="00352914">
        <w:rPr>
          <w:sz w:val="28"/>
          <w:szCs w:val="28"/>
        </w:rPr>
        <w:t xml:space="preserve">В 2024 году посеяно и убрано 126,8 тыс. га различных сельскохозяйственных культур, в </w:t>
      </w:r>
      <w:proofErr w:type="spellStart"/>
      <w:r w:rsidRPr="00352914">
        <w:rPr>
          <w:sz w:val="28"/>
          <w:szCs w:val="28"/>
        </w:rPr>
        <w:t>т.ч</w:t>
      </w:r>
      <w:proofErr w:type="spellEnd"/>
      <w:r w:rsidRPr="00352914">
        <w:rPr>
          <w:sz w:val="28"/>
          <w:szCs w:val="28"/>
        </w:rPr>
        <w:t>. с площади 83,4 тыс. га получено около 208 тыс. т зерновых и зернобобовых культур при урожайности 24,9 ц/га в весе после доработки. В районе выращиваются подсолнечник, лен, рапс, соя, сахарная свекла. По отношению к уровню прошлого года снижена на 12 % урожайность сахарной свеклы (с 490,4 ц/га до 431,7 ц/га). Урожайность подсолнечника увеличилась на 13,5 и составила 21 ц/га). Доля крестьянских (фермерских) хозяйств: около 49 тыс. т зерна с площади 27,4 тыс. га при урожайности 17,9 ц/га. Запас кормов (около 38,7 ц кормовых единиц на условную голову скота) позволил провести зимовку скота.</w:t>
      </w:r>
    </w:p>
    <w:p w:rsidR="00352914" w:rsidRPr="00352914" w:rsidRDefault="00352914" w:rsidP="00352914">
      <w:pPr>
        <w:tabs>
          <w:tab w:val="left" w:pos="0"/>
        </w:tabs>
        <w:ind w:firstLine="709"/>
        <w:jc w:val="both"/>
        <w:rPr>
          <w:sz w:val="28"/>
          <w:szCs w:val="28"/>
        </w:rPr>
      </w:pPr>
      <w:r w:rsidRPr="00352914">
        <w:rPr>
          <w:sz w:val="28"/>
          <w:szCs w:val="28"/>
        </w:rPr>
        <w:t>Не снижаются темпы технического перевооружение. Хозяйствами всех форм собственности приобретено 37 единицы сельскохозяйственной техники и оборудования на общую сумму 264,2 млн. руб.</w:t>
      </w:r>
    </w:p>
    <w:p w:rsidR="00352914" w:rsidRPr="00352914" w:rsidRDefault="00352914" w:rsidP="00352914">
      <w:pPr>
        <w:tabs>
          <w:tab w:val="left" w:pos="0"/>
        </w:tabs>
        <w:ind w:firstLine="709"/>
        <w:jc w:val="both"/>
        <w:rPr>
          <w:sz w:val="28"/>
          <w:szCs w:val="28"/>
        </w:rPr>
      </w:pPr>
      <w:r w:rsidRPr="00352914">
        <w:rPr>
          <w:sz w:val="28"/>
          <w:szCs w:val="28"/>
        </w:rPr>
        <w:lastRenderedPageBreak/>
        <w:t>Продуктивность в сельхозпредприятиях района составила 6044 кг на одну фуражную корову. Лидирует по продуктивности (7791 кг) ООО «Система». Сохраняется положительная динамика развития фермерских хозяйств. Валовое производство молока составило 27,8 тыс. т, мяса - 4,1 тыс. т. Кооператив «Восход» продолжает закуп молока у КФХ и населения, за год закуплено и переработано 2,7 тыс. т. молока.</w:t>
      </w:r>
    </w:p>
    <w:p w:rsidR="00352914" w:rsidRPr="00352914" w:rsidRDefault="00352914" w:rsidP="00352914">
      <w:pPr>
        <w:tabs>
          <w:tab w:val="left" w:pos="0"/>
        </w:tabs>
        <w:jc w:val="both"/>
        <w:rPr>
          <w:sz w:val="28"/>
          <w:szCs w:val="28"/>
        </w:rPr>
      </w:pPr>
      <w:r w:rsidRPr="00352914">
        <w:rPr>
          <w:sz w:val="28"/>
          <w:szCs w:val="28"/>
        </w:rPr>
        <w:t>2024 год сельхозпредприятия района закончили с чистой прибылью 270 млн. руб. Уровень рентабельности составил 22 %. В связи с падением цен на сельскохозяйственную продукцию увеличилась кредиторская задолженность поставщикам и подрядчикам на 14 %.</w:t>
      </w:r>
    </w:p>
    <w:p w:rsidR="00352914" w:rsidRPr="00352914" w:rsidRDefault="00352914" w:rsidP="00352914">
      <w:pPr>
        <w:tabs>
          <w:tab w:val="left" w:pos="0"/>
        </w:tabs>
        <w:ind w:firstLine="709"/>
        <w:jc w:val="both"/>
        <w:rPr>
          <w:sz w:val="28"/>
          <w:szCs w:val="28"/>
        </w:rPr>
      </w:pPr>
      <w:proofErr w:type="spellStart"/>
      <w:r w:rsidRPr="00352914">
        <w:rPr>
          <w:sz w:val="28"/>
          <w:szCs w:val="28"/>
        </w:rPr>
        <w:t>Сельхозтоваропроизводителями</w:t>
      </w:r>
      <w:proofErr w:type="spellEnd"/>
      <w:r w:rsidRPr="00352914">
        <w:rPr>
          <w:sz w:val="28"/>
          <w:szCs w:val="28"/>
        </w:rPr>
        <w:t xml:space="preserve"> района получена государственная поддержка в размере 66,8 млн. руб., в том числе КФХ - 6,7 млн. руб.</w:t>
      </w:r>
    </w:p>
    <w:p w:rsidR="00352914" w:rsidRDefault="00352914" w:rsidP="00352914">
      <w:pPr>
        <w:tabs>
          <w:tab w:val="left" w:pos="0"/>
        </w:tabs>
        <w:ind w:firstLine="709"/>
        <w:jc w:val="both"/>
        <w:rPr>
          <w:sz w:val="28"/>
          <w:szCs w:val="28"/>
        </w:rPr>
      </w:pPr>
      <w:r w:rsidRPr="00352914">
        <w:rPr>
          <w:sz w:val="28"/>
          <w:szCs w:val="28"/>
        </w:rPr>
        <w:t>По данным статистики возросла среднемесячная заработная плата работников сельскохозяйственных предприятий на 19,6 % с 41095 в 2023 году до 49159 руб. в 2024 году.</w:t>
      </w:r>
    </w:p>
    <w:p w:rsidR="00352914" w:rsidRPr="00352914" w:rsidRDefault="00352914" w:rsidP="00352914">
      <w:pPr>
        <w:tabs>
          <w:tab w:val="left" w:pos="709"/>
        </w:tabs>
        <w:jc w:val="both"/>
        <w:rPr>
          <w:sz w:val="28"/>
          <w:szCs w:val="28"/>
        </w:rPr>
      </w:pPr>
    </w:p>
    <w:p w:rsidR="00352914" w:rsidRDefault="00352914" w:rsidP="00352914">
      <w:pPr>
        <w:jc w:val="center"/>
        <w:rPr>
          <w:rStyle w:val="a3"/>
          <w:sz w:val="28"/>
          <w:szCs w:val="28"/>
        </w:rPr>
      </w:pPr>
      <w:r w:rsidRPr="00352914">
        <w:rPr>
          <w:rStyle w:val="a3"/>
          <w:sz w:val="28"/>
          <w:szCs w:val="28"/>
        </w:rPr>
        <w:t>Реализация инвестиционных проектов на территории</w:t>
      </w:r>
    </w:p>
    <w:p w:rsidR="00352914" w:rsidRPr="00352914" w:rsidRDefault="00352914" w:rsidP="00352914">
      <w:pPr>
        <w:jc w:val="center"/>
        <w:rPr>
          <w:rStyle w:val="a3"/>
          <w:sz w:val="28"/>
          <w:szCs w:val="28"/>
        </w:rPr>
      </w:pPr>
      <w:r w:rsidRPr="00352914">
        <w:rPr>
          <w:rStyle w:val="a3"/>
          <w:sz w:val="28"/>
          <w:szCs w:val="28"/>
        </w:rPr>
        <w:t xml:space="preserve"> муниципального района </w:t>
      </w:r>
    </w:p>
    <w:p w:rsidR="00352914" w:rsidRPr="00352914" w:rsidRDefault="00352914" w:rsidP="00352914">
      <w:pPr>
        <w:jc w:val="center"/>
        <w:rPr>
          <w:sz w:val="28"/>
          <w:szCs w:val="28"/>
        </w:rPr>
      </w:pPr>
    </w:p>
    <w:p w:rsidR="00352914" w:rsidRPr="00352914" w:rsidRDefault="00352914" w:rsidP="00352914">
      <w:pPr>
        <w:ind w:firstLine="709"/>
        <w:jc w:val="both"/>
        <w:rPr>
          <w:sz w:val="28"/>
          <w:szCs w:val="28"/>
        </w:rPr>
      </w:pPr>
      <w:r w:rsidRPr="00352914">
        <w:rPr>
          <w:sz w:val="28"/>
          <w:szCs w:val="28"/>
        </w:rPr>
        <w:t>Объем инвестиций в экономику района за счет всех источников финансирования по крупным и средним организациям за 2024 год составил 469,1 млн. руб., это 46,6% к предыдущему году (в сопоставимых ценах - 41,8%). В структуре инвестиций по источникам финансирования (по кругу крупных и средних предприятий) преобладают собственные средства - 54,8 % или 257,2 млн. рублей.   В общем объеме инвестиций 13,2 % составляют инвестиции за счет бюджетом всех уровней (61,7 млн. руб.)</w:t>
      </w:r>
    </w:p>
    <w:p w:rsidR="00D65534" w:rsidRDefault="00352914" w:rsidP="00352914">
      <w:pPr>
        <w:ind w:firstLine="709"/>
        <w:jc w:val="both"/>
        <w:rPr>
          <w:sz w:val="28"/>
          <w:szCs w:val="28"/>
        </w:rPr>
      </w:pPr>
      <w:r w:rsidRPr="00352914">
        <w:rPr>
          <w:sz w:val="28"/>
          <w:szCs w:val="28"/>
        </w:rPr>
        <w:t xml:space="preserve">Субъектами малого предпринимательства привлечено инвестиций в размере 119,6 млн. рублей. В числе внебюджетных инвестиционных проектов, реализуемых в 2024 году: строительство автомойки в с. Топчиха, приобретение сельскохозяйственной техники, машин, оборудования крестьянскими (фермерскими) хозяйствами и сельскохозяйственными предприятиями района. </w:t>
      </w:r>
    </w:p>
    <w:p w:rsidR="00352914" w:rsidRPr="00352914" w:rsidRDefault="00352914" w:rsidP="00352914">
      <w:pPr>
        <w:ind w:firstLine="709"/>
        <w:jc w:val="both"/>
        <w:rPr>
          <w:sz w:val="28"/>
          <w:szCs w:val="28"/>
        </w:rPr>
      </w:pPr>
      <w:r w:rsidRPr="00352914">
        <w:rPr>
          <w:sz w:val="28"/>
          <w:szCs w:val="28"/>
        </w:rPr>
        <w:t>За счет бюджетных средств в 2024 году в рамках реализации регионального проекта «Реализация инициативных проектов развития (создания) общественной инфраструктуры муниципальных образований» государственной программы Алтайского края «Создание условий для устойчивого исполнения бюджетов муниципальных образований и повышения эффективности бюджетных расходов в Алтайском крае» (проекты поддержки местных инициатив) 4 сельских поселения реализовали свои инициативы на сумму 10,6 млн. руб., из них 3,1 млн. руб. из муниципального бюджета, 623 тыс. руб. внесли граждане, 463 тыс. руб. - юридические лица.</w:t>
      </w:r>
    </w:p>
    <w:p w:rsidR="00352914" w:rsidRDefault="00352914" w:rsidP="00D65534">
      <w:pPr>
        <w:ind w:firstLine="709"/>
        <w:jc w:val="both"/>
        <w:rPr>
          <w:sz w:val="28"/>
          <w:szCs w:val="28"/>
        </w:rPr>
      </w:pPr>
      <w:r w:rsidRPr="00352914">
        <w:rPr>
          <w:sz w:val="28"/>
          <w:szCs w:val="28"/>
        </w:rPr>
        <w:t>Обустроена спортплощадка в с</w:t>
      </w:r>
      <w:r>
        <w:rPr>
          <w:sz w:val="28"/>
          <w:szCs w:val="28"/>
        </w:rPr>
        <w:t xml:space="preserve">. </w:t>
      </w:r>
      <w:r w:rsidRPr="00352914">
        <w:rPr>
          <w:sz w:val="28"/>
          <w:szCs w:val="28"/>
        </w:rPr>
        <w:t>Сидоровка</w:t>
      </w:r>
      <w:r w:rsidR="00D65534">
        <w:rPr>
          <w:sz w:val="28"/>
          <w:szCs w:val="28"/>
        </w:rPr>
        <w:t xml:space="preserve">, </w:t>
      </w:r>
      <w:r w:rsidRPr="00352914">
        <w:rPr>
          <w:sz w:val="28"/>
          <w:szCs w:val="28"/>
        </w:rPr>
        <w:t xml:space="preserve">новая детская площадка в </w:t>
      </w:r>
      <w:r w:rsidR="00D65534">
        <w:rPr>
          <w:sz w:val="28"/>
          <w:szCs w:val="28"/>
        </w:rPr>
        <w:t xml:space="preserve">         </w:t>
      </w:r>
      <w:r w:rsidRPr="00352914">
        <w:rPr>
          <w:sz w:val="28"/>
          <w:szCs w:val="28"/>
        </w:rPr>
        <w:t>с. Топчиха, отремонтирована дорога в с. Топчиха, продолжено благоустройство сельского парка в с. Фунтики, благоустроено кладбище в </w:t>
      </w:r>
      <w:r w:rsidR="00D65534">
        <w:rPr>
          <w:sz w:val="28"/>
          <w:szCs w:val="28"/>
        </w:rPr>
        <w:t>с.</w:t>
      </w:r>
      <w:r w:rsidRPr="00352914">
        <w:rPr>
          <w:sz w:val="28"/>
          <w:szCs w:val="28"/>
        </w:rPr>
        <w:t xml:space="preserve"> </w:t>
      </w:r>
      <w:proofErr w:type="spellStart"/>
      <w:r w:rsidRPr="00352914">
        <w:rPr>
          <w:sz w:val="28"/>
          <w:szCs w:val="28"/>
        </w:rPr>
        <w:t>Белояровка</w:t>
      </w:r>
      <w:proofErr w:type="spellEnd"/>
      <w:r w:rsidRPr="00352914">
        <w:rPr>
          <w:sz w:val="28"/>
          <w:szCs w:val="28"/>
        </w:rPr>
        <w:t>.</w:t>
      </w:r>
    </w:p>
    <w:p w:rsidR="00352914" w:rsidRPr="00352914" w:rsidRDefault="00352914" w:rsidP="00D65534">
      <w:pPr>
        <w:ind w:firstLine="709"/>
        <w:jc w:val="both"/>
        <w:rPr>
          <w:sz w:val="28"/>
          <w:szCs w:val="28"/>
        </w:rPr>
      </w:pPr>
      <w:r w:rsidRPr="00352914">
        <w:rPr>
          <w:sz w:val="28"/>
          <w:szCs w:val="28"/>
        </w:rPr>
        <w:t xml:space="preserve">За 7 лет участия в ППМИ удалось реализовать 53 проекта. Оборудованы 18 спортивных, 16 детских (детско-спортивных) площадок, 3 места отдыха (парк, </w:t>
      </w:r>
      <w:r w:rsidRPr="00352914">
        <w:rPr>
          <w:sz w:val="28"/>
          <w:szCs w:val="28"/>
        </w:rPr>
        <w:lastRenderedPageBreak/>
        <w:t>сценическая площадка), 1 хоккейная коробка, отремонтирован 1 спортзал, проведены ремонт 4 участков дорог в 2 селах, отремонтирован 1 памятник, обновлены ограждения 9 кладбищ. На 2025 год планируется к реализации еще 6 проектов.</w:t>
      </w:r>
    </w:p>
    <w:p w:rsidR="00352914" w:rsidRPr="00352914" w:rsidRDefault="00352914" w:rsidP="00D65534">
      <w:pPr>
        <w:ind w:firstLine="709"/>
        <w:jc w:val="both"/>
        <w:rPr>
          <w:sz w:val="28"/>
          <w:szCs w:val="28"/>
        </w:rPr>
      </w:pPr>
      <w:r w:rsidRPr="00352914">
        <w:rPr>
          <w:sz w:val="28"/>
          <w:szCs w:val="28"/>
        </w:rPr>
        <w:t>В рамках государственной программы Алтайского края «Формирование комфортной городской среды» в 2024 году благоустроена территория сельского парка в с. Фунтики, 2 очередь. Реализован комплексный проект совместно с программой ремонта памятников в общем размере 8 млн. руб.</w:t>
      </w:r>
    </w:p>
    <w:p w:rsidR="00352914" w:rsidRPr="00352914" w:rsidRDefault="00352914" w:rsidP="00D65534">
      <w:pPr>
        <w:ind w:firstLine="709"/>
        <w:jc w:val="both"/>
        <w:rPr>
          <w:sz w:val="28"/>
          <w:szCs w:val="28"/>
        </w:rPr>
      </w:pPr>
      <w:r w:rsidRPr="00352914">
        <w:rPr>
          <w:sz w:val="28"/>
          <w:szCs w:val="28"/>
        </w:rPr>
        <w:t xml:space="preserve">В 2025 году участником программы стала Администрация </w:t>
      </w:r>
      <w:proofErr w:type="spellStart"/>
      <w:r w:rsidRPr="00352914">
        <w:rPr>
          <w:sz w:val="28"/>
          <w:szCs w:val="28"/>
        </w:rPr>
        <w:t>Чистюньского</w:t>
      </w:r>
      <w:proofErr w:type="spellEnd"/>
      <w:r w:rsidRPr="00352914">
        <w:rPr>
          <w:sz w:val="28"/>
          <w:szCs w:val="28"/>
        </w:rPr>
        <w:t xml:space="preserve"> сельсовета с проектом благоустройства центральной площади. Планируется устройство асфальтового покрытия, сценической площадки, освещение, озеленение, установка малых архитектурных форм.</w:t>
      </w:r>
    </w:p>
    <w:p w:rsidR="00352914" w:rsidRPr="00352914" w:rsidRDefault="00352914" w:rsidP="00D65534">
      <w:pPr>
        <w:ind w:firstLine="709"/>
        <w:jc w:val="both"/>
        <w:rPr>
          <w:sz w:val="28"/>
          <w:szCs w:val="28"/>
        </w:rPr>
      </w:pPr>
      <w:r w:rsidRPr="00352914">
        <w:rPr>
          <w:sz w:val="28"/>
          <w:szCs w:val="28"/>
        </w:rPr>
        <w:t>В 2025 году начинается новый 4-летний период участия Топчихинского сельсовета в федеральном проекте «Формирование комфортной городской среды» нового национального проекта «Инфраструктура для жизни». Планируется обновление пешеходной зоны по ул. Ленина.</w:t>
      </w:r>
    </w:p>
    <w:p w:rsidR="00352914" w:rsidRPr="00352914" w:rsidRDefault="00352914" w:rsidP="00D65534">
      <w:pPr>
        <w:ind w:firstLine="709"/>
        <w:jc w:val="both"/>
        <w:rPr>
          <w:sz w:val="28"/>
          <w:szCs w:val="28"/>
        </w:rPr>
      </w:pPr>
      <w:r w:rsidRPr="00352914">
        <w:rPr>
          <w:sz w:val="28"/>
          <w:szCs w:val="28"/>
        </w:rPr>
        <w:t xml:space="preserve">В сентябре 2024 года запущена в работу новая угольная автоматизированная котельная в с. Топчиха, выполнены работы по капитальному ремонту водозаборных узлов с установкой водонапорных башен с. </w:t>
      </w:r>
      <w:proofErr w:type="spellStart"/>
      <w:r w:rsidRPr="00352914">
        <w:rPr>
          <w:sz w:val="28"/>
          <w:szCs w:val="28"/>
        </w:rPr>
        <w:t>Белояровка</w:t>
      </w:r>
      <w:proofErr w:type="spellEnd"/>
      <w:r w:rsidRPr="00352914">
        <w:rPr>
          <w:sz w:val="28"/>
          <w:szCs w:val="28"/>
        </w:rPr>
        <w:t xml:space="preserve">, с. Топчиха, с. Сидоровка, восстановлению сетей наружного водопровода от центральной магистрали до жилых домов в с. </w:t>
      </w:r>
      <w:proofErr w:type="spellStart"/>
      <w:r w:rsidRPr="00352914">
        <w:rPr>
          <w:sz w:val="28"/>
          <w:szCs w:val="28"/>
        </w:rPr>
        <w:t>Парфёново</w:t>
      </w:r>
      <w:proofErr w:type="spellEnd"/>
      <w:r w:rsidRPr="00352914">
        <w:rPr>
          <w:sz w:val="28"/>
          <w:szCs w:val="28"/>
        </w:rPr>
        <w:t>. Направлены заявки на включение в региональную программу модернизации коммунальной инфраструктуры проектов реконструкции водопроводных сетей и сооружений в с. Топчиха и с.</w:t>
      </w:r>
      <w:r>
        <w:rPr>
          <w:sz w:val="28"/>
          <w:szCs w:val="28"/>
        </w:rPr>
        <w:t xml:space="preserve"> </w:t>
      </w:r>
      <w:proofErr w:type="spellStart"/>
      <w:r w:rsidRPr="00352914">
        <w:rPr>
          <w:sz w:val="28"/>
          <w:szCs w:val="28"/>
        </w:rPr>
        <w:t>Чистюнька</w:t>
      </w:r>
      <w:proofErr w:type="spellEnd"/>
      <w:r w:rsidRPr="00352914">
        <w:rPr>
          <w:sz w:val="28"/>
          <w:szCs w:val="28"/>
        </w:rPr>
        <w:t>.</w:t>
      </w:r>
    </w:p>
    <w:p w:rsidR="00352914" w:rsidRPr="00352914" w:rsidRDefault="00352914" w:rsidP="00352914">
      <w:pPr>
        <w:ind w:firstLine="709"/>
        <w:jc w:val="both"/>
        <w:rPr>
          <w:sz w:val="28"/>
          <w:szCs w:val="28"/>
        </w:rPr>
      </w:pPr>
      <w:r w:rsidRPr="00352914">
        <w:rPr>
          <w:sz w:val="28"/>
          <w:szCs w:val="28"/>
        </w:rPr>
        <w:t>Завершено проектирование объекта «Топчихинский район, с. Топчиха, строительство средней общеобразовательной школы на 550 учащихся» проектным институтом «</w:t>
      </w:r>
      <w:proofErr w:type="spellStart"/>
      <w:r w:rsidRPr="00352914">
        <w:rPr>
          <w:sz w:val="28"/>
          <w:szCs w:val="28"/>
        </w:rPr>
        <w:t>Алтайгражданпроект</w:t>
      </w:r>
      <w:proofErr w:type="spellEnd"/>
      <w:r w:rsidRPr="00352914">
        <w:rPr>
          <w:sz w:val="28"/>
          <w:szCs w:val="28"/>
        </w:rPr>
        <w:t>», получено положительное заключение государственной экспертизы.</w:t>
      </w:r>
    </w:p>
    <w:p w:rsidR="00352914" w:rsidRPr="00352914" w:rsidRDefault="00352914" w:rsidP="00352914">
      <w:pPr>
        <w:ind w:firstLine="709"/>
        <w:jc w:val="both"/>
        <w:rPr>
          <w:sz w:val="28"/>
          <w:szCs w:val="28"/>
        </w:rPr>
      </w:pPr>
      <w:r w:rsidRPr="00352914">
        <w:rPr>
          <w:sz w:val="28"/>
          <w:szCs w:val="28"/>
        </w:rPr>
        <w:t>Следующий масштабный проект для района – газификация находится в активной фазе. В 2021 году Топчихинский район стал участником региональной программы газификации, в рамках которой запланировано строительство газопровода от с. Калманка до с. Топчиха. В настоящее время ведется строительство газопровода. После завершения строительства данного газопровода, которое запланировано на 2025 год, будет определена перспектива строительства газопровода до других населенных пунктов района.</w:t>
      </w:r>
    </w:p>
    <w:p w:rsidR="00352914" w:rsidRPr="00352914" w:rsidRDefault="00352914" w:rsidP="00352914">
      <w:pPr>
        <w:ind w:firstLine="709"/>
        <w:jc w:val="both"/>
        <w:rPr>
          <w:sz w:val="28"/>
          <w:szCs w:val="28"/>
        </w:rPr>
      </w:pPr>
      <w:r w:rsidRPr="00352914">
        <w:rPr>
          <w:sz w:val="28"/>
          <w:szCs w:val="28"/>
        </w:rPr>
        <w:t>Проектной организацией разработан проект «Распределительный газопровод в с. Топчиха Топчихинского района Алтайского края», получено положительное заключение государственной экспертизы, строительство планируется начать в 2025 году.</w:t>
      </w:r>
    </w:p>
    <w:p w:rsidR="00352914" w:rsidRPr="00352914" w:rsidRDefault="00352914" w:rsidP="00352914">
      <w:pPr>
        <w:ind w:firstLine="709"/>
        <w:jc w:val="both"/>
        <w:rPr>
          <w:sz w:val="28"/>
          <w:szCs w:val="28"/>
        </w:rPr>
      </w:pPr>
      <w:r w:rsidRPr="00352914">
        <w:rPr>
          <w:sz w:val="28"/>
          <w:szCs w:val="28"/>
        </w:rPr>
        <w:t>В 2024 году заключен муниципальный контракт на строительство нового объекта «Газовая котельная по ул. Партизанская в с. Топчиха», строительство планируется завершить в 2025 году.</w:t>
      </w:r>
    </w:p>
    <w:p w:rsidR="00352914" w:rsidRPr="00352914" w:rsidRDefault="00352914" w:rsidP="00352914">
      <w:pPr>
        <w:ind w:firstLine="709"/>
        <w:jc w:val="both"/>
        <w:rPr>
          <w:sz w:val="28"/>
          <w:szCs w:val="28"/>
        </w:rPr>
      </w:pPr>
      <w:r w:rsidRPr="00352914">
        <w:rPr>
          <w:sz w:val="28"/>
          <w:szCs w:val="28"/>
        </w:rPr>
        <w:t xml:space="preserve">Во избежание подтопления с. </w:t>
      </w:r>
      <w:proofErr w:type="spellStart"/>
      <w:r w:rsidRPr="00352914">
        <w:rPr>
          <w:sz w:val="28"/>
          <w:szCs w:val="28"/>
        </w:rPr>
        <w:t>Чаузово</w:t>
      </w:r>
      <w:proofErr w:type="spellEnd"/>
      <w:r w:rsidRPr="00352914">
        <w:rPr>
          <w:sz w:val="28"/>
          <w:szCs w:val="28"/>
        </w:rPr>
        <w:t xml:space="preserve"> Администрацией района проведена работа по разработке обосновывающих материалов, сметной документации по объекту: «Регулирование русла р. Большая Речка в с. </w:t>
      </w:r>
      <w:proofErr w:type="spellStart"/>
      <w:r w:rsidRPr="00352914">
        <w:rPr>
          <w:sz w:val="28"/>
          <w:szCs w:val="28"/>
        </w:rPr>
        <w:t>Чаузово</w:t>
      </w:r>
      <w:proofErr w:type="spellEnd"/>
      <w:r w:rsidRPr="00352914">
        <w:rPr>
          <w:sz w:val="28"/>
          <w:szCs w:val="28"/>
        </w:rPr>
        <w:t xml:space="preserve"> Топчихинского </w:t>
      </w:r>
      <w:r w:rsidRPr="00352914">
        <w:rPr>
          <w:sz w:val="28"/>
          <w:szCs w:val="28"/>
        </w:rPr>
        <w:lastRenderedPageBreak/>
        <w:t>района Алтайского края». В рамках реализации данного проекта предполагается строительство спрямляющего канала реки. Имеется положительное заключение проверки достоверности определения сметной стоимости объекта строительства. Администрацией района направлено ходатайство в Минприроды Алтайского края о выделении средств на строительство спрямляющего канала реки.</w:t>
      </w:r>
    </w:p>
    <w:p w:rsidR="00352914" w:rsidRPr="00352914" w:rsidRDefault="00352914" w:rsidP="00352914">
      <w:pPr>
        <w:ind w:firstLine="709"/>
        <w:jc w:val="both"/>
        <w:rPr>
          <w:sz w:val="28"/>
          <w:szCs w:val="28"/>
        </w:rPr>
      </w:pPr>
      <w:r w:rsidRPr="00352914">
        <w:rPr>
          <w:sz w:val="28"/>
          <w:szCs w:val="28"/>
        </w:rPr>
        <w:t xml:space="preserve">В 2024 году построены подъезды к молочно-товарной ферме ОАО «Раздольное» (2 подъезда), примыкающих к автомобильной дороге «Подъезд к пос. Кировский», выполнено строительство двух </w:t>
      </w:r>
      <w:proofErr w:type="spellStart"/>
      <w:r w:rsidRPr="00352914">
        <w:rPr>
          <w:sz w:val="28"/>
          <w:szCs w:val="28"/>
        </w:rPr>
        <w:t>ФАПов</w:t>
      </w:r>
      <w:proofErr w:type="spellEnd"/>
      <w:r w:rsidRPr="00352914">
        <w:rPr>
          <w:sz w:val="28"/>
          <w:szCs w:val="28"/>
        </w:rPr>
        <w:t xml:space="preserve"> КГБУЗ «</w:t>
      </w:r>
      <w:proofErr w:type="spellStart"/>
      <w:r w:rsidRPr="00352914">
        <w:rPr>
          <w:sz w:val="28"/>
          <w:szCs w:val="28"/>
        </w:rPr>
        <w:t>Топчихинская</w:t>
      </w:r>
      <w:proofErr w:type="spellEnd"/>
      <w:r w:rsidRPr="00352914">
        <w:rPr>
          <w:sz w:val="28"/>
          <w:szCs w:val="28"/>
        </w:rPr>
        <w:t xml:space="preserve"> ЦРБ» в с. Фунтики и п. Ключи.</w:t>
      </w:r>
    </w:p>
    <w:p w:rsidR="00352914" w:rsidRDefault="00352914" w:rsidP="00352914">
      <w:pPr>
        <w:ind w:firstLine="709"/>
        <w:jc w:val="both"/>
        <w:rPr>
          <w:sz w:val="28"/>
          <w:szCs w:val="28"/>
        </w:rPr>
      </w:pPr>
      <w:r w:rsidRPr="00352914">
        <w:rPr>
          <w:sz w:val="28"/>
          <w:szCs w:val="28"/>
        </w:rPr>
        <w:t xml:space="preserve">Работа Администрации района в области инвестиционной политики направлена на дальнейшее укрепление </w:t>
      </w:r>
      <w:proofErr w:type="spellStart"/>
      <w:r w:rsidRPr="00352914">
        <w:rPr>
          <w:sz w:val="28"/>
          <w:szCs w:val="28"/>
        </w:rPr>
        <w:t>инвестиционно</w:t>
      </w:r>
      <w:proofErr w:type="spellEnd"/>
      <w:r w:rsidRPr="00352914">
        <w:rPr>
          <w:sz w:val="28"/>
          <w:szCs w:val="28"/>
        </w:rPr>
        <w:t xml:space="preserve"> - привлекательного имиджа района. С целью улучшения инвестиционного и предпринимательского климата территории внедряется новый муниципальный инвестиционный стандарт 2.0, разработан инвестиционный профиль района, принято Положение о </w:t>
      </w:r>
      <w:proofErr w:type="spellStart"/>
      <w:r w:rsidRPr="00352914">
        <w:rPr>
          <w:sz w:val="28"/>
          <w:szCs w:val="28"/>
        </w:rPr>
        <w:t>муниципально</w:t>
      </w:r>
      <w:proofErr w:type="spellEnd"/>
      <w:r w:rsidRPr="00352914">
        <w:rPr>
          <w:sz w:val="28"/>
          <w:szCs w:val="28"/>
        </w:rPr>
        <w:t>-частном партнерстве в муниципальном образовании Топчихинский район.  </w:t>
      </w:r>
    </w:p>
    <w:p w:rsidR="00352914" w:rsidRPr="00352914" w:rsidRDefault="00352914" w:rsidP="00352914">
      <w:pPr>
        <w:ind w:firstLine="709"/>
        <w:jc w:val="both"/>
        <w:rPr>
          <w:sz w:val="28"/>
          <w:szCs w:val="28"/>
        </w:rPr>
      </w:pPr>
    </w:p>
    <w:p w:rsidR="00352914" w:rsidRDefault="00352914" w:rsidP="00352914">
      <w:pPr>
        <w:jc w:val="center"/>
        <w:rPr>
          <w:rStyle w:val="a3"/>
          <w:sz w:val="28"/>
          <w:szCs w:val="28"/>
        </w:rPr>
      </w:pPr>
      <w:r w:rsidRPr="00352914">
        <w:rPr>
          <w:rStyle w:val="a3"/>
          <w:sz w:val="28"/>
          <w:szCs w:val="28"/>
        </w:rPr>
        <w:t xml:space="preserve">Состояние малого и среднего предпринимательства, меры государственной поддержки малого и среднего предпринимательства </w:t>
      </w:r>
    </w:p>
    <w:p w:rsidR="00352914" w:rsidRPr="00352914" w:rsidRDefault="00352914" w:rsidP="00352914">
      <w:pPr>
        <w:jc w:val="center"/>
        <w:rPr>
          <w:sz w:val="28"/>
          <w:szCs w:val="28"/>
        </w:rPr>
      </w:pPr>
    </w:p>
    <w:p w:rsidR="00352914" w:rsidRPr="00352914" w:rsidRDefault="00352914" w:rsidP="00D65534">
      <w:pPr>
        <w:tabs>
          <w:tab w:val="left" w:pos="0"/>
        </w:tabs>
        <w:ind w:firstLine="709"/>
        <w:jc w:val="both"/>
        <w:rPr>
          <w:sz w:val="28"/>
          <w:szCs w:val="28"/>
        </w:rPr>
      </w:pPr>
      <w:r w:rsidRPr="00352914">
        <w:rPr>
          <w:sz w:val="28"/>
          <w:szCs w:val="28"/>
        </w:rPr>
        <w:t xml:space="preserve">Наблюдается положительная динамика в сфере развития малого и среднего предпринимательства в части увеличения числа субъектов бизнеса и </w:t>
      </w:r>
      <w:proofErr w:type="spellStart"/>
      <w:r w:rsidRPr="00352914">
        <w:rPr>
          <w:sz w:val="28"/>
          <w:szCs w:val="28"/>
        </w:rPr>
        <w:t>самозанятых</w:t>
      </w:r>
      <w:proofErr w:type="spellEnd"/>
      <w:r w:rsidRPr="00352914">
        <w:rPr>
          <w:sz w:val="28"/>
          <w:szCs w:val="28"/>
        </w:rPr>
        <w:t>.</w:t>
      </w:r>
    </w:p>
    <w:p w:rsidR="00352914" w:rsidRPr="00352914" w:rsidRDefault="00352914" w:rsidP="00D65534">
      <w:pPr>
        <w:ind w:firstLine="709"/>
        <w:jc w:val="both"/>
        <w:rPr>
          <w:sz w:val="28"/>
          <w:szCs w:val="28"/>
        </w:rPr>
      </w:pPr>
      <w:r w:rsidRPr="00352914">
        <w:rPr>
          <w:sz w:val="28"/>
          <w:szCs w:val="28"/>
        </w:rPr>
        <w:t>По данным единого реестра субъектов МСП на территории района зарегистрированы 432 субъекта предпринимательства (2023 год - 411) из них 376 индивидуальных предпринимателей (2023 год - 354), 54 малых и 2 средних предприятия.</w:t>
      </w:r>
    </w:p>
    <w:p w:rsidR="00352914" w:rsidRPr="00352914" w:rsidRDefault="00352914" w:rsidP="00D65534">
      <w:pPr>
        <w:ind w:firstLine="709"/>
        <w:jc w:val="both"/>
        <w:rPr>
          <w:sz w:val="28"/>
          <w:szCs w:val="28"/>
        </w:rPr>
      </w:pPr>
      <w:r w:rsidRPr="00352914">
        <w:rPr>
          <w:sz w:val="28"/>
          <w:szCs w:val="28"/>
        </w:rPr>
        <w:t>В течение года предпринимательскую деятельность зарегистрировали 98 новых хозяйствующих субъектов, что характеризует стабильную предпринимательскую и экономическую активность населения. В расчете на 10 тысяч человек приходится 239,9 субъектов предпринимательства (в 2023 году - 226,5).</w:t>
      </w:r>
    </w:p>
    <w:p w:rsidR="00352914" w:rsidRPr="00352914" w:rsidRDefault="00352914" w:rsidP="00D65534">
      <w:pPr>
        <w:ind w:firstLine="709"/>
        <w:jc w:val="both"/>
        <w:rPr>
          <w:sz w:val="28"/>
          <w:szCs w:val="28"/>
        </w:rPr>
      </w:pPr>
      <w:r w:rsidRPr="00352914">
        <w:rPr>
          <w:sz w:val="28"/>
          <w:szCs w:val="28"/>
        </w:rPr>
        <w:t>На финансирование мероприятий муниципальной программы «Развитие малого и среднего предпринимательства в Топчихинском районе» из районного бюджета израсходовано 721 тыс. руб.</w:t>
      </w:r>
    </w:p>
    <w:p w:rsidR="00352914" w:rsidRPr="00352914" w:rsidRDefault="00352914" w:rsidP="00D65534">
      <w:pPr>
        <w:tabs>
          <w:tab w:val="left" w:pos="0"/>
        </w:tabs>
        <w:ind w:firstLine="709"/>
        <w:jc w:val="both"/>
        <w:rPr>
          <w:sz w:val="28"/>
          <w:szCs w:val="28"/>
        </w:rPr>
      </w:pPr>
      <w:r w:rsidRPr="00352914">
        <w:rPr>
          <w:sz w:val="28"/>
          <w:szCs w:val="28"/>
        </w:rPr>
        <w:t>За 2024 год информационно-консультационным центром поддержки предпринимательства (далее-ИКЦ) предоставлено предпринимателям и гражданам района 245 информационно-консультационных услуг, в том числе двум предпринимателям оказана помощь в получении статуса социального предприятия. ИКЦ проводит консультирование, проверку и согласование бизнес-планов, в рамках оказания государственной социальной помощи на основании социального контракта.</w:t>
      </w:r>
    </w:p>
    <w:p w:rsidR="00352914" w:rsidRDefault="00352914" w:rsidP="00D65534">
      <w:pPr>
        <w:tabs>
          <w:tab w:val="left" w:pos="0"/>
        </w:tabs>
        <w:ind w:firstLine="709"/>
        <w:jc w:val="both"/>
        <w:rPr>
          <w:sz w:val="28"/>
          <w:szCs w:val="28"/>
        </w:rPr>
      </w:pPr>
      <w:r w:rsidRPr="00352914">
        <w:rPr>
          <w:sz w:val="28"/>
          <w:szCs w:val="28"/>
        </w:rPr>
        <w:t xml:space="preserve">В 2024 году 27 субъектов малого и среднего предпринимательства района воспользовались финансовой государственной поддержкой в виде гарантийной </w:t>
      </w:r>
      <w:r w:rsidRPr="00352914">
        <w:rPr>
          <w:sz w:val="28"/>
          <w:szCs w:val="28"/>
        </w:rPr>
        <w:lastRenderedPageBreak/>
        <w:t xml:space="preserve">поддержки, поручительств, субсидий и </w:t>
      </w:r>
      <w:proofErr w:type="spellStart"/>
      <w:r w:rsidRPr="00352914">
        <w:rPr>
          <w:sz w:val="28"/>
          <w:szCs w:val="28"/>
        </w:rPr>
        <w:t>микрозаймов</w:t>
      </w:r>
      <w:proofErr w:type="spellEnd"/>
      <w:r w:rsidRPr="00352914">
        <w:rPr>
          <w:sz w:val="28"/>
          <w:szCs w:val="28"/>
        </w:rPr>
        <w:t xml:space="preserve"> по льготным процентным ставкам на общую сумму 24,9 млн. руб.</w:t>
      </w:r>
    </w:p>
    <w:p w:rsidR="00352914" w:rsidRPr="00352914" w:rsidRDefault="00352914" w:rsidP="00352914">
      <w:pPr>
        <w:tabs>
          <w:tab w:val="left" w:pos="709"/>
        </w:tabs>
        <w:jc w:val="both"/>
        <w:rPr>
          <w:sz w:val="28"/>
          <w:szCs w:val="28"/>
        </w:rPr>
      </w:pPr>
    </w:p>
    <w:p w:rsidR="00352914" w:rsidRDefault="00352914" w:rsidP="00352914">
      <w:pPr>
        <w:jc w:val="center"/>
        <w:rPr>
          <w:rStyle w:val="a3"/>
          <w:sz w:val="28"/>
          <w:szCs w:val="28"/>
        </w:rPr>
      </w:pPr>
      <w:r w:rsidRPr="00352914">
        <w:rPr>
          <w:rStyle w:val="a3"/>
          <w:sz w:val="28"/>
          <w:szCs w:val="28"/>
        </w:rPr>
        <w:t xml:space="preserve">Ситуация на рынке труда </w:t>
      </w:r>
    </w:p>
    <w:p w:rsidR="00352914" w:rsidRPr="00352914" w:rsidRDefault="00352914" w:rsidP="00352914">
      <w:pPr>
        <w:jc w:val="center"/>
        <w:rPr>
          <w:sz w:val="28"/>
          <w:szCs w:val="28"/>
        </w:rPr>
      </w:pPr>
    </w:p>
    <w:p w:rsidR="00352914" w:rsidRPr="00352914" w:rsidRDefault="00352914" w:rsidP="00D65534">
      <w:pPr>
        <w:tabs>
          <w:tab w:val="left" w:pos="0"/>
        </w:tabs>
        <w:ind w:firstLine="709"/>
        <w:jc w:val="both"/>
        <w:rPr>
          <w:sz w:val="28"/>
          <w:szCs w:val="28"/>
        </w:rPr>
      </w:pPr>
      <w:r w:rsidRPr="00352914">
        <w:rPr>
          <w:sz w:val="28"/>
          <w:szCs w:val="28"/>
        </w:rPr>
        <w:t>Ситуация на рынке труда в целом сохраняет свою стабильность. Численность занятых в экономике оценивается на уровне 7,7 тыс. чел., ввод новых и модернизированных постоянных рабочих мест в 2024 году составил 142 ед. Среднемесячная начисленная заработная плата работников крупных и средних организаций составила 49158,9 руб., выше уровня прошлого года на 18,6 %. Случаев просроченной задолженности по заработной плате не допускалось.</w:t>
      </w:r>
    </w:p>
    <w:p w:rsidR="00352914" w:rsidRPr="00352914" w:rsidRDefault="00352914" w:rsidP="00D65534">
      <w:pPr>
        <w:tabs>
          <w:tab w:val="left" w:pos="709"/>
        </w:tabs>
        <w:ind w:firstLine="709"/>
        <w:jc w:val="both"/>
        <w:rPr>
          <w:sz w:val="28"/>
          <w:szCs w:val="28"/>
        </w:rPr>
      </w:pPr>
      <w:r w:rsidRPr="00352914">
        <w:rPr>
          <w:sz w:val="28"/>
          <w:szCs w:val="28"/>
        </w:rPr>
        <w:t>Рабочей группой по вопросам снижения неформальной занятости за год в коммерческих структурах выявлены 25 работников с которыми не заключены трудовые договоры и 78 хозяйствующих субъектов, осуществляющих свою деятельность без государственной регистрации, из них 100 % легализовали свои трудовые отношения и 100 % оформили свою деятельность.</w:t>
      </w:r>
    </w:p>
    <w:p w:rsidR="00352914" w:rsidRPr="00352914" w:rsidRDefault="00352914" w:rsidP="00D65534">
      <w:pPr>
        <w:tabs>
          <w:tab w:val="left" w:pos="0"/>
        </w:tabs>
        <w:ind w:firstLine="709"/>
        <w:jc w:val="both"/>
        <w:rPr>
          <w:sz w:val="28"/>
          <w:szCs w:val="28"/>
        </w:rPr>
      </w:pPr>
      <w:r w:rsidRPr="00352914">
        <w:rPr>
          <w:sz w:val="28"/>
          <w:szCs w:val="28"/>
        </w:rPr>
        <w:t>Затраты на финансирование условий и охраны труда по району составили 12190 руб. на одного работника. Три работодателя района имеют статус «Социально ориентированный».</w:t>
      </w:r>
    </w:p>
    <w:p w:rsidR="00352914" w:rsidRDefault="00352914" w:rsidP="00D65534">
      <w:pPr>
        <w:tabs>
          <w:tab w:val="left" w:pos="709"/>
        </w:tabs>
        <w:ind w:firstLine="709"/>
        <w:jc w:val="both"/>
        <w:rPr>
          <w:sz w:val="28"/>
          <w:szCs w:val="28"/>
        </w:rPr>
      </w:pPr>
      <w:r w:rsidRPr="00352914">
        <w:rPr>
          <w:sz w:val="28"/>
          <w:szCs w:val="28"/>
        </w:rPr>
        <w:t>По состоянию на 01.01.2025 года уровень безработицы составляет 1,6 %, напряженность на рынке труда составила 0,5 чел./место (в 2023 г - 0,6 чел./место). За содействием в поиске работы в службу занятости обратилось 292 человека, из них трудоустроены 210 человек.</w:t>
      </w:r>
    </w:p>
    <w:p w:rsidR="00352914" w:rsidRPr="00352914" w:rsidRDefault="00352914" w:rsidP="00352914">
      <w:pPr>
        <w:tabs>
          <w:tab w:val="left" w:pos="709"/>
        </w:tabs>
        <w:jc w:val="both"/>
        <w:rPr>
          <w:sz w:val="28"/>
          <w:szCs w:val="28"/>
        </w:rPr>
      </w:pPr>
    </w:p>
    <w:p w:rsidR="00352914" w:rsidRDefault="00352914" w:rsidP="00352914">
      <w:pPr>
        <w:jc w:val="center"/>
        <w:rPr>
          <w:rStyle w:val="a3"/>
          <w:sz w:val="28"/>
          <w:szCs w:val="28"/>
        </w:rPr>
      </w:pPr>
      <w:r w:rsidRPr="00352914">
        <w:rPr>
          <w:rStyle w:val="a3"/>
          <w:sz w:val="28"/>
          <w:szCs w:val="28"/>
        </w:rPr>
        <w:t xml:space="preserve">Уровень жизни населения </w:t>
      </w:r>
    </w:p>
    <w:p w:rsidR="00352914" w:rsidRPr="00352914" w:rsidRDefault="00352914" w:rsidP="00352914">
      <w:pPr>
        <w:jc w:val="center"/>
        <w:rPr>
          <w:sz w:val="28"/>
          <w:szCs w:val="28"/>
        </w:rPr>
      </w:pPr>
    </w:p>
    <w:p w:rsidR="00352914" w:rsidRPr="00352914" w:rsidRDefault="00352914" w:rsidP="00D65534">
      <w:pPr>
        <w:ind w:firstLine="709"/>
        <w:jc w:val="both"/>
        <w:rPr>
          <w:sz w:val="28"/>
          <w:szCs w:val="28"/>
        </w:rPr>
      </w:pPr>
      <w:r w:rsidRPr="00352914">
        <w:rPr>
          <w:sz w:val="28"/>
          <w:szCs w:val="28"/>
        </w:rPr>
        <w:t>Одним из индикаторов, характеризующих уровень жизни населения, является заработная плата. В 2024 году она составила по крупным и средним предприятиям 49158,9 руб., что выше уровня 2023 года на 18,6 % (16 место в рейтинге районов края).        Увеличение среднемесячной заработной платы достигнуто в результате работы по повышению уровня заработной платы с использованием механизмов социального партнёрства, организации контроля за выполнением региональных (отраслевых), территориальных (отраслевых) соглашений, осуществления комплексной оценки ситуации в сфере труда и занятости населения.</w:t>
      </w:r>
    </w:p>
    <w:p w:rsidR="00352914" w:rsidRPr="00352914" w:rsidRDefault="00352914" w:rsidP="00D65534">
      <w:pPr>
        <w:ind w:firstLine="709"/>
        <w:jc w:val="both"/>
        <w:rPr>
          <w:sz w:val="28"/>
          <w:szCs w:val="28"/>
        </w:rPr>
      </w:pPr>
      <w:r w:rsidRPr="00352914">
        <w:rPr>
          <w:sz w:val="28"/>
          <w:szCs w:val="28"/>
        </w:rPr>
        <w:t>По оценке среднемесячные доходы на душу населения в 2024 году составили 27701 руб., что выше уровня 2023 года на 11,5 %. Рост денежных доходов произошел за счет увеличения социальных выплат, поступлений из финансовой системы, доходов от предпринимательской деятельности, поступлений от продажи продукции сельского хозяйства. Наблюдается рост фонда заработной платы за счет увеличения заработной платы. К 2026 году ожидается рост среднемесячных доходов населения до 30000 руб. в основном за счет увеличения размера социальных выплат, фонда оплаты труда.</w:t>
      </w:r>
    </w:p>
    <w:p w:rsidR="00D65534" w:rsidRDefault="00D65534" w:rsidP="00352914">
      <w:pPr>
        <w:jc w:val="center"/>
        <w:rPr>
          <w:rStyle w:val="a3"/>
          <w:sz w:val="28"/>
          <w:szCs w:val="28"/>
        </w:rPr>
      </w:pPr>
    </w:p>
    <w:p w:rsidR="00D65534" w:rsidRDefault="00D65534" w:rsidP="00352914">
      <w:pPr>
        <w:jc w:val="center"/>
        <w:rPr>
          <w:rStyle w:val="a3"/>
          <w:sz w:val="28"/>
          <w:szCs w:val="28"/>
        </w:rPr>
      </w:pPr>
    </w:p>
    <w:p w:rsidR="00352914" w:rsidRDefault="00352914" w:rsidP="00352914">
      <w:pPr>
        <w:jc w:val="center"/>
        <w:rPr>
          <w:rStyle w:val="a3"/>
          <w:sz w:val="28"/>
          <w:szCs w:val="28"/>
        </w:rPr>
      </w:pPr>
      <w:r w:rsidRPr="00352914">
        <w:rPr>
          <w:rStyle w:val="a3"/>
          <w:sz w:val="28"/>
          <w:szCs w:val="28"/>
        </w:rPr>
        <w:lastRenderedPageBreak/>
        <w:t xml:space="preserve">Состояние местных бюджетов </w:t>
      </w:r>
    </w:p>
    <w:p w:rsidR="00352914" w:rsidRPr="00352914" w:rsidRDefault="00352914" w:rsidP="00352914">
      <w:pPr>
        <w:jc w:val="center"/>
        <w:rPr>
          <w:sz w:val="28"/>
          <w:szCs w:val="28"/>
        </w:rPr>
      </w:pPr>
    </w:p>
    <w:p w:rsidR="00352914" w:rsidRPr="00352914" w:rsidRDefault="00352914" w:rsidP="00D65534">
      <w:pPr>
        <w:ind w:firstLine="709"/>
        <w:jc w:val="both"/>
        <w:rPr>
          <w:sz w:val="28"/>
          <w:szCs w:val="28"/>
        </w:rPr>
      </w:pPr>
      <w:r w:rsidRPr="00352914">
        <w:rPr>
          <w:sz w:val="28"/>
          <w:szCs w:val="28"/>
        </w:rPr>
        <w:t>В консолидированный бюджет района поступило доходов в сумме 960,3 млн. руб., что на 204,7 млн. рублей меньше чем в 2023 году, из них 35% составили собственные доходы (335,7 млн. руб.)., которые сложились из налоговых поступлений - 273,8 млн. руб. (81,6%) и неналоговых поступлений - 61,8 млн. руб. (18,4%).  В краевом рейтинге по налоговым и неналоговым доходам бюджета на душу населения район сохраняет 7 позицию. Удельный вес налоговых и неналоговых доходов в общем объеме расходов бюджета по итогу года составил 35,1 % (6 позиция краевого рейтинга).</w:t>
      </w:r>
    </w:p>
    <w:p w:rsidR="00352914" w:rsidRPr="00352914" w:rsidRDefault="00352914" w:rsidP="00D65534">
      <w:pPr>
        <w:ind w:firstLine="709"/>
        <w:jc w:val="both"/>
        <w:rPr>
          <w:sz w:val="28"/>
          <w:szCs w:val="28"/>
        </w:rPr>
      </w:pPr>
      <w:r w:rsidRPr="00352914">
        <w:rPr>
          <w:sz w:val="28"/>
          <w:szCs w:val="28"/>
        </w:rPr>
        <w:t xml:space="preserve">Снизилась, но продолжает оставаться на высоком уровне недоимка по доходам - 16 млн. руб., из них по налоговым доходам - 11 млн. руб., в </w:t>
      </w:r>
      <w:proofErr w:type="spellStart"/>
      <w:r w:rsidRPr="00352914">
        <w:rPr>
          <w:sz w:val="28"/>
          <w:szCs w:val="28"/>
        </w:rPr>
        <w:t>т.ч</w:t>
      </w:r>
      <w:proofErr w:type="spellEnd"/>
      <w:r w:rsidRPr="00352914">
        <w:rPr>
          <w:sz w:val="28"/>
          <w:szCs w:val="28"/>
        </w:rPr>
        <w:t xml:space="preserve">. основные долги: это земельный налог - 5,4 млн. руб., налог на имущество физических лиц - 2 млн. руб., НДФЛ - 2,6 млн. руб., налоги по </w:t>
      </w:r>
      <w:proofErr w:type="spellStart"/>
      <w:r w:rsidRPr="00352914">
        <w:rPr>
          <w:sz w:val="28"/>
          <w:szCs w:val="28"/>
        </w:rPr>
        <w:t>спецрежимам</w:t>
      </w:r>
      <w:proofErr w:type="spellEnd"/>
      <w:r w:rsidRPr="00352914">
        <w:rPr>
          <w:sz w:val="28"/>
          <w:szCs w:val="28"/>
        </w:rPr>
        <w:t xml:space="preserve"> - 1 млн. руб. По неналоговым доходам, а именно арендной плате за землю - 5 млн. руб.</w:t>
      </w:r>
    </w:p>
    <w:p w:rsidR="00352914" w:rsidRPr="00352914" w:rsidRDefault="00352914" w:rsidP="00D65534">
      <w:pPr>
        <w:tabs>
          <w:tab w:val="left" w:pos="0"/>
        </w:tabs>
        <w:ind w:firstLine="709"/>
        <w:jc w:val="both"/>
        <w:rPr>
          <w:sz w:val="28"/>
          <w:szCs w:val="28"/>
        </w:rPr>
      </w:pPr>
      <w:r w:rsidRPr="00352914">
        <w:rPr>
          <w:sz w:val="28"/>
          <w:szCs w:val="28"/>
        </w:rPr>
        <w:t>Финансовой помощи из федерального и краевого бюджетов району за год оказано в объеме 624,7 млн. руб. (65 % в объеме доходов), что на 266,3 млн. руб.  или на 29,9% ниже уровня 2023 года.</w:t>
      </w:r>
    </w:p>
    <w:p w:rsidR="00352914" w:rsidRPr="00352914" w:rsidRDefault="00352914" w:rsidP="00D65534">
      <w:pPr>
        <w:tabs>
          <w:tab w:val="left" w:pos="0"/>
        </w:tabs>
        <w:ind w:firstLine="709"/>
        <w:jc w:val="both"/>
        <w:rPr>
          <w:sz w:val="28"/>
          <w:szCs w:val="28"/>
        </w:rPr>
      </w:pPr>
      <w:r w:rsidRPr="00352914">
        <w:rPr>
          <w:sz w:val="28"/>
          <w:szCs w:val="28"/>
        </w:rPr>
        <w:t>Объем расходов 2024 года составил 957,6 млн. руб., что на 173,3 млн. руб. ниже уровня 2023 года. На реализацию муниципальных программ направлено 777 млн. руб., что составляет 81 % от общей суммы расходов.</w:t>
      </w:r>
    </w:p>
    <w:p w:rsidR="00352914" w:rsidRPr="00352914" w:rsidRDefault="00352914" w:rsidP="00D65534">
      <w:pPr>
        <w:tabs>
          <w:tab w:val="left" w:pos="0"/>
        </w:tabs>
        <w:ind w:firstLine="709"/>
        <w:jc w:val="both"/>
        <w:rPr>
          <w:sz w:val="28"/>
          <w:szCs w:val="28"/>
        </w:rPr>
      </w:pPr>
      <w:r w:rsidRPr="00352914">
        <w:rPr>
          <w:sz w:val="28"/>
          <w:szCs w:val="28"/>
        </w:rPr>
        <w:t xml:space="preserve">В структуре исполнения бюджета по отраслям сохраняется его социальная направленность. Удельный вес расходов на финансирование деятельности муниципальных учреждений социальной сферы составляет 70 %, в </w:t>
      </w:r>
      <w:proofErr w:type="spellStart"/>
      <w:r w:rsidRPr="00352914">
        <w:rPr>
          <w:sz w:val="28"/>
          <w:szCs w:val="28"/>
        </w:rPr>
        <w:t>т.ч</w:t>
      </w:r>
      <w:proofErr w:type="spellEnd"/>
      <w:r w:rsidRPr="00352914">
        <w:rPr>
          <w:sz w:val="28"/>
          <w:szCs w:val="28"/>
        </w:rPr>
        <w:t>. 61 % направлено на образование (583 млн. руб.), 6 % на культуру (62 млн. руб.), 2 % на социальную политику (17 млн. руб.), 1 % на физкультуру и спорт (14 млн. рублей). На решение общегосударственных вопросов направлено 15% (142 млн. руб.). Расходы в области ЖКХ, благоустройства населенных пунктов составили 10 % (96 млн. руб.) вместо 37 % в 2023 году.</w:t>
      </w:r>
    </w:p>
    <w:p w:rsidR="00352914" w:rsidRPr="00352914" w:rsidRDefault="00352914" w:rsidP="00D65534">
      <w:pPr>
        <w:tabs>
          <w:tab w:val="left" w:pos="0"/>
        </w:tabs>
        <w:ind w:firstLine="709"/>
        <w:jc w:val="both"/>
        <w:rPr>
          <w:sz w:val="28"/>
          <w:szCs w:val="28"/>
        </w:rPr>
      </w:pPr>
      <w:r w:rsidRPr="00352914">
        <w:rPr>
          <w:sz w:val="28"/>
          <w:szCs w:val="28"/>
        </w:rPr>
        <w:t>По состоянию на 01.01.2025 муниципальный долг отсутствует, бюджетные кредиты не привлекались, не допущена задолженность по выплате заработной платы работникам бюджетной сферы, по расчетам за электроэнергию, тепло, воду.</w:t>
      </w:r>
    </w:p>
    <w:p w:rsidR="00352914" w:rsidRPr="00352914" w:rsidRDefault="00352914" w:rsidP="00D65534">
      <w:pPr>
        <w:tabs>
          <w:tab w:val="left" w:pos="0"/>
        </w:tabs>
        <w:ind w:firstLine="709"/>
        <w:jc w:val="both"/>
        <w:rPr>
          <w:sz w:val="28"/>
          <w:szCs w:val="28"/>
        </w:rPr>
      </w:pPr>
      <w:r w:rsidRPr="00352914">
        <w:rPr>
          <w:sz w:val="28"/>
          <w:szCs w:val="28"/>
        </w:rPr>
        <w:t>В 2024 году была продолжена работа по повышению эффективности расходования бюджетных средств, оптимизации и сокращению объема неэффективных расходов, обеспечению сбалансированности и устойчивости районного бюджета и бюджетов поселений.</w:t>
      </w:r>
    </w:p>
    <w:p w:rsidR="00352914" w:rsidRPr="00352914" w:rsidRDefault="00352914" w:rsidP="00D65534">
      <w:pPr>
        <w:tabs>
          <w:tab w:val="left" w:pos="0"/>
        </w:tabs>
        <w:ind w:firstLine="709"/>
        <w:jc w:val="both"/>
        <w:rPr>
          <w:sz w:val="28"/>
          <w:szCs w:val="28"/>
        </w:rPr>
      </w:pPr>
      <w:r w:rsidRPr="00352914">
        <w:rPr>
          <w:sz w:val="28"/>
          <w:szCs w:val="28"/>
        </w:rPr>
        <w:t>Для увеличения доходного потенциала Администрация района ведет целенаправленную работу по созданию благоприятных условий для дальнейшего роста экономики и привлечения инвестиций.</w:t>
      </w:r>
    </w:p>
    <w:p w:rsidR="00352914" w:rsidRDefault="00352914" w:rsidP="00D65534">
      <w:pPr>
        <w:tabs>
          <w:tab w:val="left" w:pos="0"/>
        </w:tabs>
        <w:ind w:firstLine="709"/>
        <w:jc w:val="both"/>
        <w:rPr>
          <w:sz w:val="28"/>
          <w:szCs w:val="28"/>
        </w:rPr>
      </w:pPr>
      <w:r w:rsidRPr="00352914">
        <w:rPr>
          <w:sz w:val="28"/>
          <w:szCs w:val="28"/>
        </w:rPr>
        <w:t>Политика в области расходов направлена на решение задач социально-экономического развития района и повышения качества жизни населения, последовательного роста оплаты труда.</w:t>
      </w:r>
    </w:p>
    <w:p w:rsidR="00352914" w:rsidRPr="00352914" w:rsidRDefault="00352914" w:rsidP="00352914">
      <w:pPr>
        <w:tabs>
          <w:tab w:val="left" w:pos="709"/>
        </w:tabs>
        <w:jc w:val="both"/>
        <w:rPr>
          <w:sz w:val="28"/>
          <w:szCs w:val="28"/>
        </w:rPr>
      </w:pPr>
    </w:p>
    <w:p w:rsidR="00352914" w:rsidRDefault="00352914" w:rsidP="00352914">
      <w:pPr>
        <w:jc w:val="center"/>
        <w:rPr>
          <w:rStyle w:val="a3"/>
          <w:sz w:val="28"/>
          <w:szCs w:val="28"/>
        </w:rPr>
      </w:pPr>
      <w:r w:rsidRPr="00352914">
        <w:rPr>
          <w:rStyle w:val="a3"/>
          <w:sz w:val="28"/>
          <w:szCs w:val="28"/>
        </w:rPr>
        <w:lastRenderedPageBreak/>
        <w:t xml:space="preserve">Жилищно-коммунальное хозяйство </w:t>
      </w:r>
    </w:p>
    <w:p w:rsidR="00352914" w:rsidRPr="00352914" w:rsidRDefault="00352914" w:rsidP="00352914">
      <w:pPr>
        <w:jc w:val="center"/>
        <w:rPr>
          <w:sz w:val="28"/>
          <w:szCs w:val="28"/>
        </w:rPr>
      </w:pPr>
    </w:p>
    <w:p w:rsidR="00352914" w:rsidRPr="00352914" w:rsidRDefault="00352914" w:rsidP="00D65534">
      <w:pPr>
        <w:tabs>
          <w:tab w:val="left" w:pos="0"/>
        </w:tabs>
        <w:ind w:firstLine="709"/>
        <w:jc w:val="both"/>
        <w:rPr>
          <w:sz w:val="28"/>
          <w:szCs w:val="28"/>
        </w:rPr>
      </w:pPr>
      <w:r w:rsidRPr="00352914">
        <w:rPr>
          <w:sz w:val="28"/>
          <w:szCs w:val="28"/>
        </w:rPr>
        <w:t>Предприятия энергетики, жилищно-коммунального хозяйства района стабильно поставляют коммунальные услуги для обеспечения жизнедеятельности населения района, в плановом режиме организуют техническое обследование инженерных сетей, своевременно проводят капитальные и текущие ремонты, оперативно реагируют на аварийные ситуации.</w:t>
      </w:r>
      <w:r w:rsidRPr="00352914">
        <w:rPr>
          <w:sz w:val="28"/>
          <w:szCs w:val="28"/>
          <w:lang w:val="en-US"/>
        </w:rPr>
        <w:t> </w:t>
      </w:r>
    </w:p>
    <w:p w:rsidR="00352914" w:rsidRPr="00352914" w:rsidRDefault="00352914" w:rsidP="00D65534">
      <w:pPr>
        <w:ind w:firstLine="709"/>
        <w:jc w:val="both"/>
        <w:rPr>
          <w:sz w:val="28"/>
          <w:szCs w:val="28"/>
        </w:rPr>
      </w:pPr>
      <w:r w:rsidRPr="00352914">
        <w:rPr>
          <w:sz w:val="28"/>
          <w:szCs w:val="28"/>
        </w:rPr>
        <w:t xml:space="preserve">В сентябре 2024 года запущена в работу новая угольная автоматизированная котельная в с. Топчиха. </w:t>
      </w:r>
    </w:p>
    <w:p w:rsidR="00352914" w:rsidRPr="00352914" w:rsidRDefault="00352914" w:rsidP="00D65534">
      <w:pPr>
        <w:tabs>
          <w:tab w:val="left" w:pos="0"/>
        </w:tabs>
        <w:ind w:firstLine="709"/>
        <w:jc w:val="both"/>
        <w:rPr>
          <w:sz w:val="28"/>
          <w:szCs w:val="28"/>
        </w:rPr>
      </w:pPr>
      <w:r w:rsidRPr="00352914">
        <w:rPr>
          <w:sz w:val="28"/>
          <w:szCs w:val="28"/>
        </w:rPr>
        <w:t xml:space="preserve">В 2025 году за счет средств краевого и местного бюджета будет капитально отремонтирован участок тепловой сети протяженностью 0,819 км в с. Топчиха пер. Мельничный, ул. Октябрьская. </w:t>
      </w:r>
    </w:p>
    <w:p w:rsidR="00352914" w:rsidRPr="00352914" w:rsidRDefault="00352914" w:rsidP="00D65534">
      <w:pPr>
        <w:tabs>
          <w:tab w:val="left" w:pos="0"/>
        </w:tabs>
        <w:ind w:firstLine="709"/>
        <w:jc w:val="both"/>
        <w:rPr>
          <w:sz w:val="28"/>
          <w:szCs w:val="28"/>
        </w:rPr>
      </w:pPr>
      <w:r w:rsidRPr="00352914">
        <w:rPr>
          <w:sz w:val="28"/>
          <w:szCs w:val="28"/>
        </w:rPr>
        <w:t>Продолжена планомерная работа по совершенствованию систем отопления в социальных объектах. Выполнены их частичные ремонты в 11 образовательных организациях, 2 сельских администрациях. Из краевого бюджета на закупку котельного оборудование в 2024 году выделено 3,5 млн. руб. На эти средства выполнена замена 7 отопительных котлов, заменены две дымоходные трубы.</w:t>
      </w:r>
    </w:p>
    <w:p w:rsidR="00352914" w:rsidRPr="00352914" w:rsidRDefault="00352914" w:rsidP="00D65534">
      <w:pPr>
        <w:tabs>
          <w:tab w:val="left" w:pos="0"/>
        </w:tabs>
        <w:ind w:firstLine="709"/>
        <w:jc w:val="both"/>
        <w:rPr>
          <w:sz w:val="28"/>
          <w:szCs w:val="28"/>
        </w:rPr>
      </w:pPr>
      <w:r w:rsidRPr="00352914">
        <w:rPr>
          <w:sz w:val="28"/>
          <w:szCs w:val="28"/>
        </w:rPr>
        <w:t>Проблема изношенности водопроводных сетей и качества питьевой воды остается актуальной для района.</w:t>
      </w:r>
      <w:r w:rsidRPr="00352914">
        <w:rPr>
          <w:sz w:val="28"/>
          <w:szCs w:val="28"/>
          <w:lang w:val="en-US"/>
        </w:rPr>
        <w:t> </w:t>
      </w:r>
      <w:r w:rsidRPr="00352914">
        <w:rPr>
          <w:sz w:val="28"/>
          <w:szCs w:val="28"/>
        </w:rPr>
        <w:t>В целях реализации мероприятий муниципальной программы «Обеспечение населения Топчихинского района жилищно-коммунальными услугами» из районного бюджета выделено 22,8 млн. руб.</w:t>
      </w:r>
    </w:p>
    <w:p w:rsidR="00352914" w:rsidRPr="00352914" w:rsidRDefault="00352914" w:rsidP="00D65534">
      <w:pPr>
        <w:tabs>
          <w:tab w:val="left" w:pos="0"/>
        </w:tabs>
        <w:ind w:firstLine="709"/>
        <w:jc w:val="both"/>
        <w:rPr>
          <w:sz w:val="28"/>
          <w:szCs w:val="28"/>
        </w:rPr>
      </w:pPr>
      <w:r w:rsidRPr="00352914">
        <w:rPr>
          <w:sz w:val="28"/>
          <w:szCs w:val="28"/>
        </w:rPr>
        <w:t xml:space="preserve">В 2024 году в рамках мероприятий государственной программы «Обеспечение населения Алтайского края жилищно-коммунальными услугами» выполнен капитальный ремонт скважин, установлены новые водонапорные башни в с. </w:t>
      </w:r>
      <w:proofErr w:type="spellStart"/>
      <w:r w:rsidRPr="00352914">
        <w:rPr>
          <w:sz w:val="28"/>
          <w:szCs w:val="28"/>
        </w:rPr>
        <w:t>Белояровка</w:t>
      </w:r>
      <w:proofErr w:type="spellEnd"/>
      <w:r w:rsidRPr="00352914">
        <w:rPr>
          <w:sz w:val="28"/>
          <w:szCs w:val="28"/>
        </w:rPr>
        <w:t xml:space="preserve">, с. Топчиха, с. Сидоровка, выполнены работы по восстановлению сетей наружного водопровода от центральной магистрали до жилых домов в с. </w:t>
      </w:r>
      <w:proofErr w:type="spellStart"/>
      <w:r w:rsidRPr="00352914">
        <w:rPr>
          <w:sz w:val="28"/>
          <w:szCs w:val="28"/>
        </w:rPr>
        <w:t>Парфёново</w:t>
      </w:r>
      <w:proofErr w:type="spellEnd"/>
      <w:r w:rsidRPr="00352914">
        <w:rPr>
          <w:sz w:val="28"/>
          <w:szCs w:val="28"/>
        </w:rPr>
        <w:t>.</w:t>
      </w:r>
    </w:p>
    <w:p w:rsidR="00352914" w:rsidRPr="00352914" w:rsidRDefault="00352914" w:rsidP="00D65534">
      <w:pPr>
        <w:tabs>
          <w:tab w:val="left" w:pos="0"/>
        </w:tabs>
        <w:ind w:firstLine="709"/>
        <w:jc w:val="both"/>
        <w:rPr>
          <w:sz w:val="28"/>
          <w:szCs w:val="28"/>
        </w:rPr>
      </w:pPr>
      <w:r w:rsidRPr="00352914">
        <w:rPr>
          <w:sz w:val="28"/>
          <w:szCs w:val="28"/>
        </w:rPr>
        <w:t xml:space="preserve">Направлена повторная заявка на включение в региональную программу модернизации коммунальной инфраструктуры проекта реконструкции водопроводных сетей и сооружений в с. </w:t>
      </w:r>
      <w:proofErr w:type="spellStart"/>
      <w:r w:rsidRPr="00352914">
        <w:rPr>
          <w:sz w:val="28"/>
          <w:szCs w:val="28"/>
        </w:rPr>
        <w:t>Чистюнька</w:t>
      </w:r>
      <w:proofErr w:type="spellEnd"/>
      <w:r w:rsidRPr="00352914">
        <w:rPr>
          <w:sz w:val="28"/>
          <w:szCs w:val="28"/>
        </w:rPr>
        <w:t xml:space="preserve"> стоимостью 96,9 млн. руб. В эту же программу заявлен еще один масштабный проект реконструкции водопроводных сетей и сооружений в с. Топчиха стоимостью 461,9 млн. руб.</w:t>
      </w:r>
    </w:p>
    <w:p w:rsidR="00352914" w:rsidRPr="00352914" w:rsidRDefault="00352914" w:rsidP="00D65534">
      <w:pPr>
        <w:tabs>
          <w:tab w:val="left" w:pos="0"/>
        </w:tabs>
        <w:ind w:firstLine="709"/>
        <w:jc w:val="both"/>
        <w:rPr>
          <w:sz w:val="28"/>
          <w:szCs w:val="28"/>
        </w:rPr>
      </w:pPr>
      <w:r w:rsidRPr="00352914">
        <w:rPr>
          <w:sz w:val="28"/>
          <w:szCs w:val="28"/>
        </w:rPr>
        <w:t xml:space="preserve">Продолжается плановая работа по проведению замены водопроводов по улицам с. Топчиха. В 2024 году выполнена полная замена водопровода по ул. Титова, на 2025 год запланированы ремонты водопроводов на ул. Ворошиловская, ул. Привокзальная, ул. </w:t>
      </w:r>
      <w:proofErr w:type="spellStart"/>
      <w:r w:rsidRPr="00352914">
        <w:rPr>
          <w:sz w:val="28"/>
          <w:szCs w:val="28"/>
        </w:rPr>
        <w:t>Сизова</w:t>
      </w:r>
      <w:proofErr w:type="spellEnd"/>
      <w:r w:rsidRPr="00352914">
        <w:rPr>
          <w:sz w:val="28"/>
          <w:szCs w:val="28"/>
        </w:rPr>
        <w:t>.</w:t>
      </w:r>
    </w:p>
    <w:p w:rsidR="00352914" w:rsidRPr="00352914" w:rsidRDefault="00352914" w:rsidP="00D65534">
      <w:pPr>
        <w:tabs>
          <w:tab w:val="left" w:pos="0"/>
        </w:tabs>
        <w:ind w:firstLine="709"/>
        <w:jc w:val="both"/>
        <w:rPr>
          <w:sz w:val="28"/>
          <w:szCs w:val="28"/>
        </w:rPr>
      </w:pPr>
      <w:r w:rsidRPr="00352914">
        <w:rPr>
          <w:sz w:val="28"/>
          <w:szCs w:val="28"/>
        </w:rPr>
        <w:t xml:space="preserve">Включен в перечень мероприятий государственной программы Алтайского края «Обеспечение населения Алтайского края жилищно-коммунальными услугами» на 2025 год капитальный ремонт водонапорных башен в п. Ключи и в с. </w:t>
      </w:r>
      <w:proofErr w:type="spellStart"/>
      <w:r w:rsidRPr="00352914">
        <w:rPr>
          <w:sz w:val="28"/>
          <w:szCs w:val="28"/>
        </w:rPr>
        <w:t>Макарьевка</w:t>
      </w:r>
      <w:proofErr w:type="spellEnd"/>
      <w:r w:rsidRPr="00352914">
        <w:rPr>
          <w:sz w:val="28"/>
          <w:szCs w:val="28"/>
        </w:rPr>
        <w:t>.</w:t>
      </w:r>
    </w:p>
    <w:p w:rsidR="00352914" w:rsidRPr="00352914" w:rsidRDefault="00352914" w:rsidP="00D65534">
      <w:pPr>
        <w:tabs>
          <w:tab w:val="left" w:pos="0"/>
        </w:tabs>
        <w:ind w:firstLine="709"/>
        <w:jc w:val="both"/>
        <w:rPr>
          <w:sz w:val="28"/>
          <w:szCs w:val="28"/>
        </w:rPr>
      </w:pPr>
      <w:r w:rsidRPr="00352914">
        <w:rPr>
          <w:sz w:val="28"/>
          <w:szCs w:val="28"/>
        </w:rPr>
        <w:t xml:space="preserve">Объекты водоснабжения </w:t>
      </w:r>
      <w:proofErr w:type="spellStart"/>
      <w:r w:rsidRPr="00352914">
        <w:rPr>
          <w:sz w:val="28"/>
          <w:szCs w:val="28"/>
        </w:rPr>
        <w:t>Победимского</w:t>
      </w:r>
      <w:proofErr w:type="spellEnd"/>
      <w:r w:rsidRPr="00352914">
        <w:rPr>
          <w:sz w:val="28"/>
          <w:szCs w:val="28"/>
        </w:rPr>
        <w:t xml:space="preserve"> сельсовета, которые обслуживал </w:t>
      </w:r>
      <w:proofErr w:type="spellStart"/>
      <w:r w:rsidRPr="00352914">
        <w:rPr>
          <w:sz w:val="28"/>
          <w:szCs w:val="28"/>
        </w:rPr>
        <w:t>Племрепродуктор</w:t>
      </w:r>
      <w:proofErr w:type="spellEnd"/>
      <w:r w:rsidRPr="00352914">
        <w:rPr>
          <w:sz w:val="28"/>
          <w:szCs w:val="28"/>
        </w:rPr>
        <w:t xml:space="preserve"> «</w:t>
      </w:r>
      <w:proofErr w:type="spellStart"/>
      <w:r w:rsidRPr="00352914">
        <w:rPr>
          <w:sz w:val="28"/>
          <w:szCs w:val="28"/>
        </w:rPr>
        <w:t>Чистюньский</w:t>
      </w:r>
      <w:proofErr w:type="spellEnd"/>
      <w:r w:rsidRPr="00352914">
        <w:rPr>
          <w:sz w:val="28"/>
          <w:szCs w:val="28"/>
        </w:rPr>
        <w:t xml:space="preserve">», приняты в муниципальную собственность и </w:t>
      </w:r>
      <w:r w:rsidRPr="00352914">
        <w:rPr>
          <w:sz w:val="28"/>
          <w:szCs w:val="28"/>
        </w:rPr>
        <w:lastRenderedPageBreak/>
        <w:t>переданы на обслуживание ООО «РСУ», ведутся работы по заключению концессионного соглашения.</w:t>
      </w:r>
      <w:r w:rsidRPr="00352914">
        <w:rPr>
          <w:sz w:val="28"/>
          <w:szCs w:val="28"/>
          <w:lang w:val="en-US"/>
        </w:rPr>
        <w:t> </w:t>
      </w:r>
    </w:p>
    <w:p w:rsidR="00352914" w:rsidRPr="00352914" w:rsidRDefault="00352914" w:rsidP="00D65534">
      <w:pPr>
        <w:tabs>
          <w:tab w:val="left" w:pos="0"/>
        </w:tabs>
        <w:ind w:firstLine="709"/>
        <w:jc w:val="both"/>
        <w:rPr>
          <w:sz w:val="28"/>
          <w:szCs w:val="28"/>
        </w:rPr>
      </w:pPr>
      <w:r w:rsidRPr="00352914">
        <w:rPr>
          <w:sz w:val="28"/>
          <w:szCs w:val="28"/>
        </w:rPr>
        <w:t xml:space="preserve">Ликвидированы </w:t>
      </w:r>
      <w:r w:rsidR="005C1604">
        <w:rPr>
          <w:sz w:val="28"/>
          <w:szCs w:val="28"/>
        </w:rPr>
        <w:t>М</w:t>
      </w:r>
      <w:r w:rsidRPr="00352914">
        <w:rPr>
          <w:sz w:val="28"/>
          <w:szCs w:val="28"/>
        </w:rPr>
        <w:t>УП «</w:t>
      </w:r>
      <w:proofErr w:type="spellStart"/>
      <w:r w:rsidRPr="00352914">
        <w:rPr>
          <w:sz w:val="28"/>
          <w:szCs w:val="28"/>
        </w:rPr>
        <w:t>Хабазиное</w:t>
      </w:r>
      <w:proofErr w:type="spellEnd"/>
      <w:r w:rsidRPr="00352914">
        <w:rPr>
          <w:sz w:val="28"/>
          <w:szCs w:val="28"/>
        </w:rPr>
        <w:t>», МУП «</w:t>
      </w:r>
      <w:proofErr w:type="spellStart"/>
      <w:r w:rsidRPr="00352914">
        <w:rPr>
          <w:sz w:val="28"/>
          <w:szCs w:val="28"/>
        </w:rPr>
        <w:t>Парфёновское</w:t>
      </w:r>
      <w:proofErr w:type="spellEnd"/>
      <w:r w:rsidRPr="00352914">
        <w:rPr>
          <w:sz w:val="28"/>
          <w:szCs w:val="28"/>
        </w:rPr>
        <w:t>», МУП «Кировское» и МУП «Чистая Топчиха».</w:t>
      </w:r>
      <w:r w:rsidRPr="00352914">
        <w:rPr>
          <w:sz w:val="28"/>
          <w:szCs w:val="28"/>
          <w:lang w:val="en-US"/>
        </w:rPr>
        <w:t>  </w:t>
      </w:r>
    </w:p>
    <w:p w:rsidR="00352914" w:rsidRPr="00352914" w:rsidRDefault="00352914" w:rsidP="00D65534">
      <w:pPr>
        <w:tabs>
          <w:tab w:val="left" w:pos="0"/>
        </w:tabs>
        <w:ind w:firstLine="709"/>
        <w:jc w:val="both"/>
        <w:rPr>
          <w:sz w:val="28"/>
          <w:szCs w:val="28"/>
        </w:rPr>
      </w:pPr>
      <w:r w:rsidRPr="00352914">
        <w:rPr>
          <w:sz w:val="28"/>
          <w:szCs w:val="28"/>
        </w:rPr>
        <w:t>По итогам 2024 года предприятиями ЖКХ района оказано услуг на общую сумму 143,8 млн. руб. По отрасли в целом получена прибыль 124,6 млн. руб. Одно из трех предприятий ЖКХ получили убыток по итогам года. Уровень собираемость платежей населения за жилищно-коммунальные услуги составил 94,56%.</w:t>
      </w:r>
    </w:p>
    <w:p w:rsidR="00352914" w:rsidRPr="00352914" w:rsidRDefault="00352914" w:rsidP="00D65534">
      <w:pPr>
        <w:tabs>
          <w:tab w:val="left" w:pos="0"/>
        </w:tabs>
        <w:ind w:firstLine="709"/>
        <w:jc w:val="both"/>
        <w:rPr>
          <w:sz w:val="28"/>
          <w:szCs w:val="28"/>
        </w:rPr>
      </w:pPr>
      <w:r w:rsidRPr="00352914">
        <w:rPr>
          <w:sz w:val="28"/>
          <w:szCs w:val="28"/>
        </w:rPr>
        <w:t>В период подготовки объектов жилищно-коммунального комплекса района к работе в осенне-зимний период 2024-2025 годов выполнены все необходимые мероприятия к безаварийному проведению отопительного периода.</w:t>
      </w:r>
    </w:p>
    <w:p w:rsidR="00352914" w:rsidRPr="00352914" w:rsidRDefault="00352914" w:rsidP="00D65534">
      <w:pPr>
        <w:tabs>
          <w:tab w:val="left" w:pos="0"/>
        </w:tabs>
        <w:ind w:firstLine="709"/>
        <w:jc w:val="both"/>
        <w:rPr>
          <w:sz w:val="28"/>
          <w:szCs w:val="28"/>
        </w:rPr>
      </w:pPr>
      <w:r w:rsidRPr="00352914">
        <w:rPr>
          <w:sz w:val="28"/>
          <w:szCs w:val="28"/>
        </w:rPr>
        <w:t>Общая площадь введенного жилья за год составила 1479 м</w:t>
      </w:r>
      <w:r w:rsidRPr="00352914">
        <w:rPr>
          <w:sz w:val="28"/>
          <w:szCs w:val="28"/>
          <w:vertAlign w:val="superscript"/>
        </w:rPr>
        <w:t>2</w:t>
      </w:r>
      <w:r w:rsidRPr="00352914">
        <w:rPr>
          <w:sz w:val="28"/>
          <w:szCs w:val="28"/>
        </w:rPr>
        <w:t>. Район продолжает участвовать в различных программах по улучшению жилищных условий граждан. За год 2 семьи улучшили жилищные условия, являясь участниками жилищных программ: «Обеспечение жильем молодых семей» (1 семья - социальная выплата 1500,4 тыс. руб., из них 500 тыс. руб. из районного бюджета); «Комплексное развитие сельских территорий» (1 семья - социальная выплата 0,9 млн. руб. из средств краевого бюджета на строительство жилого дома).</w:t>
      </w:r>
    </w:p>
    <w:p w:rsidR="00352914" w:rsidRPr="00352914" w:rsidRDefault="00352914" w:rsidP="00D65534">
      <w:pPr>
        <w:tabs>
          <w:tab w:val="left" w:pos="0"/>
        </w:tabs>
        <w:ind w:firstLine="709"/>
        <w:jc w:val="both"/>
        <w:rPr>
          <w:sz w:val="28"/>
          <w:szCs w:val="28"/>
        </w:rPr>
      </w:pPr>
      <w:r w:rsidRPr="00352914">
        <w:rPr>
          <w:sz w:val="28"/>
          <w:szCs w:val="28"/>
        </w:rPr>
        <w:t>С 2023 года за счет средств краевого бюджета ведется проектирование строительства многоквартирного дома на 12 квартир для работников социальной сферы в с. Топчиха. С декабря 2024 года проект находится на проверке государственной экспертизы. Выделен земельный участок на ул. Октябрьская. Ведется активное сотрудничество с проектантами.</w:t>
      </w:r>
    </w:p>
    <w:p w:rsidR="00352914" w:rsidRPr="00352914" w:rsidRDefault="00352914" w:rsidP="00D65534">
      <w:pPr>
        <w:tabs>
          <w:tab w:val="left" w:pos="0"/>
        </w:tabs>
        <w:ind w:firstLine="709"/>
        <w:jc w:val="both"/>
        <w:rPr>
          <w:sz w:val="28"/>
          <w:szCs w:val="28"/>
        </w:rPr>
      </w:pPr>
      <w:r w:rsidRPr="00352914">
        <w:rPr>
          <w:sz w:val="28"/>
          <w:szCs w:val="28"/>
        </w:rPr>
        <w:t>Продолжается капитальный ремонт общего имущества многоквартирных домов, за 2024 проведены ремонты двух домов в Топчихе. На 2025 год запланирован капитальный ремонт ещё 2 домов.</w:t>
      </w:r>
    </w:p>
    <w:p w:rsidR="00352914" w:rsidRPr="00D65534" w:rsidRDefault="00352914" w:rsidP="00D65534">
      <w:pPr>
        <w:tabs>
          <w:tab w:val="left" w:pos="0"/>
        </w:tabs>
        <w:ind w:firstLine="709"/>
        <w:jc w:val="both"/>
        <w:rPr>
          <w:sz w:val="28"/>
          <w:szCs w:val="28"/>
        </w:rPr>
      </w:pPr>
      <w:r w:rsidRPr="00352914">
        <w:rPr>
          <w:sz w:val="28"/>
          <w:szCs w:val="28"/>
        </w:rPr>
        <w:t>Проведен перевод нежилого помещения в жилое, путем переустройства и перепланировки, образовано 11 квартир для специализированного жилищного фонда.</w:t>
      </w:r>
      <w:r w:rsidRPr="00352914">
        <w:rPr>
          <w:sz w:val="28"/>
          <w:szCs w:val="28"/>
          <w:lang w:val="en-US"/>
        </w:rPr>
        <w:t> </w:t>
      </w:r>
    </w:p>
    <w:p w:rsidR="00352914" w:rsidRPr="00352914" w:rsidRDefault="00352914" w:rsidP="00352914">
      <w:pPr>
        <w:tabs>
          <w:tab w:val="left" w:pos="567"/>
          <w:tab w:val="left" w:pos="709"/>
        </w:tabs>
        <w:jc w:val="both"/>
        <w:rPr>
          <w:sz w:val="28"/>
          <w:szCs w:val="28"/>
        </w:rPr>
      </w:pPr>
    </w:p>
    <w:p w:rsidR="00352914" w:rsidRDefault="00352914" w:rsidP="00352914">
      <w:pPr>
        <w:jc w:val="center"/>
        <w:rPr>
          <w:rStyle w:val="a3"/>
          <w:sz w:val="28"/>
          <w:szCs w:val="28"/>
        </w:rPr>
      </w:pPr>
      <w:r w:rsidRPr="00352914">
        <w:rPr>
          <w:rStyle w:val="a3"/>
          <w:sz w:val="28"/>
          <w:szCs w:val="28"/>
        </w:rPr>
        <w:t xml:space="preserve">Социальная сфера </w:t>
      </w:r>
    </w:p>
    <w:p w:rsidR="00352914" w:rsidRPr="00352914" w:rsidRDefault="00352914" w:rsidP="00352914">
      <w:pPr>
        <w:jc w:val="center"/>
        <w:rPr>
          <w:sz w:val="28"/>
          <w:szCs w:val="28"/>
        </w:rPr>
      </w:pPr>
    </w:p>
    <w:p w:rsidR="00352914" w:rsidRPr="00352914" w:rsidRDefault="00352914" w:rsidP="00D65534">
      <w:pPr>
        <w:ind w:firstLine="709"/>
        <w:jc w:val="both"/>
        <w:rPr>
          <w:sz w:val="28"/>
          <w:szCs w:val="28"/>
        </w:rPr>
      </w:pPr>
      <w:r w:rsidRPr="00352914">
        <w:rPr>
          <w:sz w:val="28"/>
          <w:szCs w:val="28"/>
        </w:rPr>
        <w:t>Организацией предоставления общедоступного и бесплатного образования занимаются 14 образовательных организаций, из них 9 школ (юридических лиц), имеющих 13 филиалов, 2 детских сада (юридических лиц), имеющих 3 филиала, 3 учреждения дополнительного образования (ДЮЦ, ДЮСШ, ДШИ). 81 % школ являются малокомплектными. В школах обучается 2506 учеников, что на 109 школьников меньше уровня 2023 года. Количество обучающихся по специальным (коррекционным) программам -282, ниже уровня 2023 на 22 ребенка.</w:t>
      </w:r>
    </w:p>
    <w:p w:rsidR="00352914" w:rsidRPr="00352914" w:rsidRDefault="00352914" w:rsidP="00D65534">
      <w:pPr>
        <w:ind w:firstLine="709"/>
        <w:jc w:val="both"/>
        <w:rPr>
          <w:sz w:val="28"/>
          <w:szCs w:val="28"/>
        </w:rPr>
      </w:pPr>
      <w:r w:rsidRPr="00352914">
        <w:rPr>
          <w:sz w:val="28"/>
          <w:szCs w:val="28"/>
        </w:rPr>
        <w:t>Организован подвоз 188 учеников из 14 населенных пунктов по 11 школьным маршрутам на 9 автобусах.</w:t>
      </w:r>
    </w:p>
    <w:p w:rsidR="00352914" w:rsidRPr="00352914" w:rsidRDefault="00352914" w:rsidP="00427AE9">
      <w:pPr>
        <w:ind w:firstLine="709"/>
        <w:jc w:val="both"/>
        <w:rPr>
          <w:sz w:val="28"/>
          <w:szCs w:val="28"/>
        </w:rPr>
      </w:pPr>
      <w:r w:rsidRPr="00352914">
        <w:rPr>
          <w:sz w:val="28"/>
          <w:szCs w:val="28"/>
        </w:rPr>
        <w:lastRenderedPageBreak/>
        <w:t>Питанием охвачено 90 % обучающихся. Обеспечено горячее питание льготных категорий обучающихся за счет всех видов бюджетов: федерального - 13,6 млн. руб., краевого - 6,1 млн. руб., районного - 1,2 млн. руб.</w:t>
      </w:r>
    </w:p>
    <w:p w:rsidR="00352914" w:rsidRPr="00352914" w:rsidRDefault="00352914" w:rsidP="00427AE9">
      <w:pPr>
        <w:ind w:firstLine="709"/>
        <w:jc w:val="both"/>
        <w:rPr>
          <w:sz w:val="28"/>
          <w:szCs w:val="28"/>
        </w:rPr>
      </w:pPr>
      <w:r w:rsidRPr="00352914">
        <w:rPr>
          <w:sz w:val="28"/>
          <w:szCs w:val="28"/>
        </w:rPr>
        <w:t xml:space="preserve">Летним отдыхом охвачено 100 % школьников. В загородных лагерях отдохнули 88 детей, в 7-ми пришкольных лагерях с дневным пребыванием - 273, из них 100 детей за счет муниципального бюджета. В 14 школах работали дворовые площадки, трудоустроено 47 школьников. Всего на летний отдых, оздоровление и трудоустройство из районного бюджета направлено 472,3 тыс. руб., что выше уровня 2023 г на 41,7%.   </w:t>
      </w:r>
    </w:p>
    <w:p w:rsidR="00352914" w:rsidRPr="00352914" w:rsidRDefault="00352914" w:rsidP="00427AE9">
      <w:pPr>
        <w:ind w:firstLine="709"/>
        <w:jc w:val="both"/>
        <w:rPr>
          <w:sz w:val="28"/>
          <w:szCs w:val="28"/>
        </w:rPr>
      </w:pPr>
      <w:r w:rsidRPr="00352914">
        <w:rPr>
          <w:sz w:val="28"/>
          <w:szCs w:val="28"/>
        </w:rPr>
        <w:t xml:space="preserve">Новогодние подарки за счет муниципального бюджета получили школьники из малообеспеченных семей с 5 по 6 класс, а также семей участников СВО, всего 349 ребят. 13 подарков отправлено детям </w:t>
      </w:r>
      <w:proofErr w:type="spellStart"/>
      <w:r w:rsidRPr="00352914">
        <w:rPr>
          <w:sz w:val="28"/>
          <w:szCs w:val="28"/>
        </w:rPr>
        <w:t>Славяносербского</w:t>
      </w:r>
      <w:proofErr w:type="spellEnd"/>
      <w:r w:rsidRPr="00352914">
        <w:rPr>
          <w:sz w:val="28"/>
          <w:szCs w:val="28"/>
        </w:rPr>
        <w:t xml:space="preserve"> района в составе гуманитарной помощи от Алтайского края. За счет краевого бюджета все школьники начальных классов обеспечены губернаторскими подарками.</w:t>
      </w:r>
    </w:p>
    <w:p w:rsidR="00352914" w:rsidRPr="00352914" w:rsidRDefault="00352914" w:rsidP="00427AE9">
      <w:pPr>
        <w:ind w:firstLine="709"/>
        <w:jc w:val="both"/>
        <w:rPr>
          <w:sz w:val="28"/>
          <w:szCs w:val="28"/>
        </w:rPr>
      </w:pPr>
      <w:r w:rsidRPr="00352914">
        <w:rPr>
          <w:sz w:val="28"/>
          <w:szCs w:val="28"/>
        </w:rPr>
        <w:t xml:space="preserve">Продолжается оснащение образовательных организаций района компьютерным, учебным, технологическим оборудованием. В 2024 году поступило спортивное оборудование в МКОУ </w:t>
      </w:r>
      <w:proofErr w:type="spellStart"/>
      <w:r w:rsidRPr="00352914">
        <w:rPr>
          <w:sz w:val="28"/>
          <w:szCs w:val="28"/>
        </w:rPr>
        <w:t>Чистюньская</w:t>
      </w:r>
      <w:proofErr w:type="spellEnd"/>
      <w:r w:rsidRPr="00352914">
        <w:rPr>
          <w:sz w:val="28"/>
          <w:szCs w:val="28"/>
        </w:rPr>
        <w:t xml:space="preserve"> СОШ на сумму 78 тыс. руб. На реализацию учебных программ «Основы безопасности и защиты Родины» (ОБЗР) и «Труд» за счет муниципального бюджета закуплено оборудование на сумму 477,5 тыс. руб. Оснащен оборудованием новый спортзал </w:t>
      </w:r>
      <w:proofErr w:type="spellStart"/>
      <w:r w:rsidRPr="00352914">
        <w:rPr>
          <w:sz w:val="28"/>
          <w:szCs w:val="28"/>
        </w:rPr>
        <w:t>Парфёновской</w:t>
      </w:r>
      <w:proofErr w:type="spellEnd"/>
      <w:r w:rsidRPr="00352914">
        <w:rPr>
          <w:sz w:val="28"/>
          <w:szCs w:val="28"/>
        </w:rPr>
        <w:t xml:space="preserve"> школы (в ходе капитального ремонта получено оборудование на сумму 1451,96 тыс. руб.)</w:t>
      </w:r>
    </w:p>
    <w:p w:rsidR="00352914" w:rsidRPr="00352914" w:rsidRDefault="00352914" w:rsidP="00427AE9">
      <w:pPr>
        <w:ind w:firstLine="709"/>
        <w:jc w:val="both"/>
        <w:rPr>
          <w:sz w:val="28"/>
          <w:szCs w:val="28"/>
        </w:rPr>
      </w:pPr>
      <w:r w:rsidRPr="00352914">
        <w:rPr>
          <w:sz w:val="28"/>
          <w:szCs w:val="28"/>
        </w:rPr>
        <w:t>Во всех 8 средних общеобразовательных школах (</w:t>
      </w:r>
      <w:proofErr w:type="spellStart"/>
      <w:r w:rsidRPr="00352914">
        <w:rPr>
          <w:sz w:val="28"/>
          <w:szCs w:val="28"/>
        </w:rPr>
        <w:t>юрлицах</w:t>
      </w:r>
      <w:proofErr w:type="spellEnd"/>
      <w:r w:rsidRPr="00352914">
        <w:rPr>
          <w:sz w:val="28"/>
          <w:szCs w:val="28"/>
        </w:rPr>
        <w:t>) открыты Центры Точки Роста, где не только реализуются программы естественно-научной и технологической направленности, обучающиеся с педагогами участвуют в муниципальных и краевых конкурсах, занимают призовые места (краевые конкурсы «На перекрестке наук», «Наукой заниматься нескучно!», «Дорогами знаний» и др.)</w:t>
      </w:r>
    </w:p>
    <w:p w:rsidR="00352914" w:rsidRPr="00352914" w:rsidRDefault="00352914" w:rsidP="00427AE9">
      <w:pPr>
        <w:ind w:firstLine="709"/>
        <w:jc w:val="both"/>
        <w:rPr>
          <w:sz w:val="28"/>
          <w:szCs w:val="28"/>
        </w:rPr>
      </w:pPr>
      <w:r w:rsidRPr="00352914">
        <w:rPr>
          <w:sz w:val="28"/>
          <w:szCs w:val="28"/>
        </w:rPr>
        <w:t>Относительно 2023 года повысились результаты сдачи ЕГЭ по предметам: математика (профиль и база), физика, биология, история, география, обществознание. В 2024 году 99% выпускников 11 классов сдали ЕГЭ и получили аттестат о среднем общем образовании. С 4 до 6 увеличилось количество выпускников, награжденных медалью «За особые успехи в учении».</w:t>
      </w:r>
    </w:p>
    <w:p w:rsidR="00352914" w:rsidRPr="00352914" w:rsidRDefault="00352914" w:rsidP="00427AE9">
      <w:pPr>
        <w:tabs>
          <w:tab w:val="left" w:pos="0"/>
        </w:tabs>
        <w:ind w:firstLine="709"/>
        <w:jc w:val="both"/>
        <w:rPr>
          <w:sz w:val="28"/>
          <w:szCs w:val="28"/>
        </w:rPr>
      </w:pPr>
      <w:r w:rsidRPr="00352914">
        <w:rPr>
          <w:sz w:val="28"/>
          <w:szCs w:val="28"/>
        </w:rPr>
        <w:t>Несмотря на стабильную общую численность кадров системы общего образования района в 430 чел., педагогический кадровый потенциал снизился на 1 педагога и составил 232 педагогических работника. На 0,4 % увеличилась доля молодых педагогов и составила 40 человек против 39 в 2023 году. Общая сумма выплат из районного бюджета муниципальных подъемных, которые увеличены с 2023 года до 30 тыс. руб. (2 чел.). С сентября 2024 года ежемесячно выплачиваются стипендии за учебу гражданам, заключившим договор о целевом обучении (3 студента-</w:t>
      </w:r>
      <w:proofErr w:type="spellStart"/>
      <w:r w:rsidRPr="00352914">
        <w:rPr>
          <w:sz w:val="28"/>
          <w:szCs w:val="28"/>
        </w:rPr>
        <w:t>целевика</w:t>
      </w:r>
      <w:proofErr w:type="spellEnd"/>
      <w:r w:rsidRPr="00352914">
        <w:rPr>
          <w:sz w:val="28"/>
          <w:szCs w:val="28"/>
        </w:rPr>
        <w:t>). Из районного бюджета выплачено 88,5 тыс. рублей.</w:t>
      </w:r>
    </w:p>
    <w:p w:rsidR="00352914" w:rsidRPr="00352914" w:rsidRDefault="00352914" w:rsidP="00427AE9">
      <w:pPr>
        <w:tabs>
          <w:tab w:val="left" w:pos="0"/>
        </w:tabs>
        <w:ind w:firstLine="709"/>
        <w:jc w:val="both"/>
        <w:rPr>
          <w:sz w:val="28"/>
          <w:szCs w:val="28"/>
        </w:rPr>
      </w:pPr>
      <w:r w:rsidRPr="00352914">
        <w:rPr>
          <w:sz w:val="28"/>
          <w:szCs w:val="28"/>
        </w:rPr>
        <w:t xml:space="preserve">Дошкольное образование района характеризовалось стабильным кадровым составом (165 работников, их них - 53 педагогических) и 100 % обеспеченностью местами в детских садах детей в возрасте от 3 до 7 лет. Кроме </w:t>
      </w:r>
      <w:r w:rsidRPr="00352914">
        <w:rPr>
          <w:sz w:val="28"/>
          <w:szCs w:val="28"/>
        </w:rPr>
        <w:lastRenderedPageBreak/>
        <w:t xml:space="preserve">того, в режиме «ясли» работает новый детский сад в с. Топчиха, принимающий детей с 1,5 лет. Вместе с тем, снизилось число посещающих дошкольные учреждения и группы, работающие в режиме детского сада, на 50 детей и составило 604 ребенка, что повлекло за собой вынужденную оптимизацию кадров в 2024 году. </w:t>
      </w:r>
    </w:p>
    <w:p w:rsidR="00352914" w:rsidRPr="00352914" w:rsidRDefault="00352914" w:rsidP="00427AE9">
      <w:pPr>
        <w:tabs>
          <w:tab w:val="left" w:pos="0"/>
        </w:tabs>
        <w:ind w:firstLine="709"/>
        <w:jc w:val="both"/>
        <w:rPr>
          <w:sz w:val="28"/>
          <w:szCs w:val="28"/>
        </w:rPr>
      </w:pPr>
      <w:r w:rsidRPr="00352914">
        <w:rPr>
          <w:sz w:val="28"/>
          <w:szCs w:val="28"/>
        </w:rPr>
        <w:t>Родительская плата за присмотр и уход в детских садах пересматривается каждый год. С 01.01.2024 увеличена на прогнозируемый уровень инфляции в размере 4,5 %. Освобождены от родительской платы льготные категории, на что из муниципального бюджета выделено 1300</w:t>
      </w:r>
      <w:r w:rsidRPr="00352914">
        <w:rPr>
          <w:sz w:val="28"/>
          <w:szCs w:val="28"/>
          <w:lang w:val="en-US"/>
        </w:rPr>
        <w:t> </w:t>
      </w:r>
      <w:r w:rsidRPr="00352914">
        <w:rPr>
          <w:sz w:val="28"/>
          <w:szCs w:val="28"/>
        </w:rPr>
        <w:t>тыс. руб.</w:t>
      </w:r>
    </w:p>
    <w:p w:rsidR="00352914" w:rsidRPr="00352914" w:rsidRDefault="00352914" w:rsidP="00427AE9">
      <w:pPr>
        <w:tabs>
          <w:tab w:val="left" w:pos="0"/>
        </w:tabs>
        <w:ind w:firstLine="709"/>
        <w:jc w:val="both"/>
        <w:rPr>
          <w:sz w:val="28"/>
          <w:szCs w:val="28"/>
        </w:rPr>
      </w:pPr>
      <w:r w:rsidRPr="00352914">
        <w:rPr>
          <w:sz w:val="28"/>
          <w:szCs w:val="28"/>
        </w:rPr>
        <w:t>Дополнительное образование успешно реализуют ДЮЦ, Спортивная школа, ДШИ и школы, имеющие лицензию на осуществление деятельности по дополнительному образованию. Доля детей, охваченных дополнительным образованием составила 78,6 %, что на 0,4 % выше краевого показателя. В детских объединениях различной направленности занимается 2469 чел.</w:t>
      </w:r>
    </w:p>
    <w:p w:rsidR="00352914" w:rsidRPr="00352914" w:rsidRDefault="00352914" w:rsidP="00427AE9">
      <w:pPr>
        <w:tabs>
          <w:tab w:val="left" w:pos="0"/>
        </w:tabs>
        <w:ind w:firstLine="709"/>
        <w:jc w:val="both"/>
        <w:rPr>
          <w:sz w:val="28"/>
          <w:szCs w:val="28"/>
        </w:rPr>
      </w:pPr>
      <w:r w:rsidRPr="00352914">
        <w:rPr>
          <w:sz w:val="28"/>
          <w:szCs w:val="28"/>
        </w:rPr>
        <w:t xml:space="preserve">Целевой показатель средней заработной платы педагогических работников в районе выполнен на 102,3 % и находится выше уровня средней заработной платы в Алтайском крае. </w:t>
      </w:r>
    </w:p>
    <w:p w:rsidR="00352914" w:rsidRPr="00352914" w:rsidRDefault="00352914" w:rsidP="00427AE9">
      <w:pPr>
        <w:ind w:firstLine="709"/>
        <w:jc w:val="both"/>
        <w:rPr>
          <w:sz w:val="28"/>
          <w:szCs w:val="28"/>
        </w:rPr>
      </w:pPr>
      <w:r w:rsidRPr="00352914">
        <w:rPr>
          <w:sz w:val="28"/>
          <w:szCs w:val="28"/>
        </w:rPr>
        <w:t>Продолжается обеспечение условий для развития физической культуры, школьного и массового спорта. Спортшкола является спортивным центром района и современным многофункциональным спорткомплексом. Продолжается появление новых спортплощадок по проекту ППМИ.</w:t>
      </w:r>
    </w:p>
    <w:p w:rsidR="00352914" w:rsidRPr="00352914" w:rsidRDefault="00352914" w:rsidP="00427AE9">
      <w:pPr>
        <w:ind w:firstLine="709"/>
        <w:jc w:val="both"/>
        <w:rPr>
          <w:sz w:val="28"/>
          <w:szCs w:val="28"/>
        </w:rPr>
      </w:pPr>
      <w:r w:rsidRPr="00352914">
        <w:rPr>
          <w:sz w:val="28"/>
          <w:szCs w:val="28"/>
        </w:rPr>
        <w:t>Благодаря большой работе коллектива и спортсменов в итоговом зачете за 2024 год Топчихинский район входит в 10 лучших спортивных районов края, как среди детско-юношеского спорта, так и среди взрослого населения. Подтверждением тому являются 2 место хоккейной сборной района команды «</w:t>
      </w:r>
      <w:proofErr w:type="spellStart"/>
      <w:r w:rsidRPr="00352914">
        <w:rPr>
          <w:sz w:val="28"/>
          <w:szCs w:val="28"/>
        </w:rPr>
        <w:t>РиФ</w:t>
      </w:r>
      <w:proofErr w:type="spellEnd"/>
      <w:r w:rsidRPr="00352914">
        <w:rPr>
          <w:sz w:val="28"/>
          <w:szCs w:val="28"/>
        </w:rPr>
        <w:t>» с. Фунтики и 2 место футбольной сборной района на финальных соревнованиях 38-ой зимней Олимпиады сельских спортсменов Алтайского края.</w:t>
      </w:r>
    </w:p>
    <w:p w:rsidR="00352914" w:rsidRPr="00352914" w:rsidRDefault="00352914" w:rsidP="00427AE9">
      <w:pPr>
        <w:tabs>
          <w:tab w:val="left" w:pos="0"/>
        </w:tabs>
        <w:ind w:firstLine="709"/>
        <w:jc w:val="both"/>
        <w:rPr>
          <w:sz w:val="28"/>
          <w:szCs w:val="28"/>
        </w:rPr>
      </w:pPr>
      <w:r w:rsidRPr="00352914">
        <w:rPr>
          <w:sz w:val="28"/>
          <w:szCs w:val="28"/>
        </w:rPr>
        <w:t>По муниципальной программе «Развитие физической культуры и спорта» в 2024 году освоено 12,5 млн. руб., в том числе 11,4 млн. руб. - средства районного бюджета.</w:t>
      </w:r>
    </w:p>
    <w:p w:rsidR="00352914" w:rsidRPr="00352914" w:rsidRDefault="00352914" w:rsidP="00427AE9">
      <w:pPr>
        <w:tabs>
          <w:tab w:val="left" w:pos="0"/>
        </w:tabs>
        <w:ind w:firstLine="709"/>
        <w:jc w:val="both"/>
        <w:rPr>
          <w:sz w:val="28"/>
          <w:szCs w:val="28"/>
        </w:rPr>
      </w:pPr>
      <w:r w:rsidRPr="00352914">
        <w:rPr>
          <w:sz w:val="28"/>
          <w:szCs w:val="28"/>
        </w:rPr>
        <w:t xml:space="preserve">Сфера культуры сохранила свою структуру: центральный Дом культуры с сетью структурных подразделений: центральная районная и детская библиотеки, районный краеведческий музей, 27 сельских домов культуры и клубов, 17 из которых осуществляют библиотечную деятельность. </w:t>
      </w:r>
    </w:p>
    <w:p w:rsidR="00352914" w:rsidRPr="00352914" w:rsidRDefault="00352914" w:rsidP="00427AE9">
      <w:pPr>
        <w:tabs>
          <w:tab w:val="left" w:pos="0"/>
        </w:tabs>
        <w:ind w:firstLine="709"/>
        <w:jc w:val="both"/>
        <w:rPr>
          <w:sz w:val="28"/>
          <w:szCs w:val="28"/>
        </w:rPr>
      </w:pPr>
      <w:r w:rsidRPr="00352914">
        <w:rPr>
          <w:sz w:val="28"/>
          <w:szCs w:val="28"/>
        </w:rPr>
        <w:t>Большое внимание уделяется охране и сохранению объектов культурного наследия. В 2024 году проведены ремонты 3-х памятников в с. Володарке, п. Комсомольский, с. Фунтики в рамках реализации мероприятий государственных программ.</w:t>
      </w:r>
    </w:p>
    <w:p w:rsidR="00352914" w:rsidRPr="00352914" w:rsidRDefault="00352914" w:rsidP="00427AE9">
      <w:pPr>
        <w:tabs>
          <w:tab w:val="left" w:pos="0"/>
        </w:tabs>
        <w:ind w:firstLine="709"/>
        <w:jc w:val="both"/>
        <w:rPr>
          <w:sz w:val="28"/>
          <w:szCs w:val="28"/>
        </w:rPr>
      </w:pPr>
      <w:r w:rsidRPr="00352914">
        <w:rPr>
          <w:sz w:val="28"/>
          <w:szCs w:val="28"/>
        </w:rPr>
        <w:t xml:space="preserve">Сфера здравоохранения представлена центральной районной больницей, в составе которой стационар на 80 круглосуточных и 37 дневных коек, поликлиника на 350 посещений, 4 врачебных амбулатории, 14 </w:t>
      </w:r>
      <w:proofErr w:type="spellStart"/>
      <w:r w:rsidRPr="00352914">
        <w:rPr>
          <w:sz w:val="28"/>
          <w:szCs w:val="28"/>
        </w:rPr>
        <w:t>ФАПов</w:t>
      </w:r>
      <w:proofErr w:type="spellEnd"/>
      <w:r w:rsidRPr="00352914">
        <w:rPr>
          <w:sz w:val="28"/>
          <w:szCs w:val="28"/>
        </w:rPr>
        <w:t>.</w:t>
      </w:r>
    </w:p>
    <w:p w:rsidR="00352914" w:rsidRPr="00352914" w:rsidRDefault="00352914" w:rsidP="00427AE9">
      <w:pPr>
        <w:tabs>
          <w:tab w:val="left" w:pos="0"/>
        </w:tabs>
        <w:ind w:firstLine="709"/>
        <w:jc w:val="both"/>
        <w:rPr>
          <w:sz w:val="28"/>
          <w:szCs w:val="28"/>
        </w:rPr>
      </w:pPr>
      <w:r w:rsidRPr="00352914">
        <w:rPr>
          <w:sz w:val="28"/>
          <w:szCs w:val="28"/>
        </w:rPr>
        <w:t xml:space="preserve">В системе работают 265 человека, из них 42 врача, 121 средний медицинский работник. Укомплектованность врачами составила 66 %, средними </w:t>
      </w:r>
      <w:r w:rsidRPr="00352914">
        <w:rPr>
          <w:sz w:val="28"/>
          <w:szCs w:val="28"/>
        </w:rPr>
        <w:lastRenderedPageBreak/>
        <w:t xml:space="preserve">медицинскими работниками - 79 %. За счет средств районного бюджета предусмотрены единовременные подъемные молодым специалистам. </w:t>
      </w:r>
    </w:p>
    <w:p w:rsidR="00352914" w:rsidRPr="00352914" w:rsidRDefault="00352914" w:rsidP="00427AE9">
      <w:pPr>
        <w:ind w:firstLine="709"/>
        <w:jc w:val="both"/>
        <w:rPr>
          <w:sz w:val="28"/>
          <w:szCs w:val="28"/>
        </w:rPr>
      </w:pPr>
      <w:r w:rsidRPr="00352914">
        <w:rPr>
          <w:sz w:val="28"/>
          <w:szCs w:val="28"/>
        </w:rPr>
        <w:t xml:space="preserve">Активно работает </w:t>
      </w:r>
      <w:r w:rsidR="00F56225">
        <w:rPr>
          <w:sz w:val="28"/>
          <w:szCs w:val="28"/>
        </w:rPr>
        <w:t>м</w:t>
      </w:r>
      <w:r w:rsidRPr="00352914">
        <w:rPr>
          <w:sz w:val="28"/>
          <w:szCs w:val="28"/>
        </w:rPr>
        <w:t>обильный ФАП, проведено 319 выездов в населённые пункты, где отсутствуют медицинские работники, осмотрено 2711 человек. Скорой медицинской помощью обслужено 4775 чел.</w:t>
      </w:r>
    </w:p>
    <w:p w:rsidR="00427AE9" w:rsidRDefault="00352914" w:rsidP="00427AE9">
      <w:pPr>
        <w:tabs>
          <w:tab w:val="left" w:pos="0"/>
        </w:tabs>
        <w:ind w:firstLine="709"/>
        <w:jc w:val="both"/>
        <w:rPr>
          <w:sz w:val="28"/>
          <w:szCs w:val="28"/>
        </w:rPr>
      </w:pPr>
      <w:r w:rsidRPr="00352914">
        <w:rPr>
          <w:sz w:val="28"/>
          <w:szCs w:val="28"/>
        </w:rPr>
        <w:t xml:space="preserve">Стабильно число состоящих на диспансерном учёте с онкологическими заболеваниями - 750 чел., с психическими расстройствами до 149 человек. Под наблюдением врача-психиатра находится 765 человек, 40 % из которых дети (309 чел.).  </w:t>
      </w:r>
    </w:p>
    <w:p w:rsidR="00352914" w:rsidRPr="00352914" w:rsidRDefault="00352914" w:rsidP="00427AE9">
      <w:pPr>
        <w:tabs>
          <w:tab w:val="left" w:pos="0"/>
        </w:tabs>
        <w:ind w:firstLine="709"/>
        <w:jc w:val="both"/>
        <w:rPr>
          <w:sz w:val="28"/>
          <w:szCs w:val="28"/>
        </w:rPr>
      </w:pPr>
      <w:r w:rsidRPr="00352914">
        <w:rPr>
          <w:sz w:val="28"/>
          <w:szCs w:val="28"/>
        </w:rPr>
        <w:t xml:space="preserve">Продолжают представлять опасность для общества социально-значимые заболевания: туберкулез, ВИЧ-инфекции, наркомания, алкоголизм (выявлен туберкулез у 7 чел., ВИЧ у 9 чел., из них от ВИЧ-инфекции умерло 3 чел. На диспансерный учет в течение года поставлен 1 наркозависимый и 45 зависимых от алкоголя. Всего на учете 79 наркозависимых и 531 </w:t>
      </w:r>
      <w:r w:rsidR="00F56225">
        <w:rPr>
          <w:sz w:val="28"/>
          <w:szCs w:val="28"/>
        </w:rPr>
        <w:t>зависимых от алкоголя</w:t>
      </w:r>
      <w:r w:rsidRPr="00352914">
        <w:rPr>
          <w:sz w:val="28"/>
          <w:szCs w:val="28"/>
        </w:rPr>
        <w:t>.</w:t>
      </w:r>
    </w:p>
    <w:p w:rsidR="00352914" w:rsidRPr="00352914" w:rsidRDefault="00352914" w:rsidP="00427AE9">
      <w:pPr>
        <w:tabs>
          <w:tab w:val="left" w:pos="0"/>
        </w:tabs>
        <w:ind w:firstLine="709"/>
        <w:jc w:val="both"/>
        <w:rPr>
          <w:sz w:val="28"/>
          <w:szCs w:val="28"/>
        </w:rPr>
      </w:pPr>
      <w:r w:rsidRPr="00352914">
        <w:rPr>
          <w:sz w:val="28"/>
          <w:szCs w:val="28"/>
        </w:rPr>
        <w:t xml:space="preserve">Приобретено медицинское оборудование на сумму более 11 млн. руб. Построены </w:t>
      </w:r>
      <w:proofErr w:type="spellStart"/>
      <w:r w:rsidRPr="00352914">
        <w:rPr>
          <w:sz w:val="28"/>
          <w:szCs w:val="28"/>
        </w:rPr>
        <w:t>ФАПы</w:t>
      </w:r>
      <w:proofErr w:type="spellEnd"/>
      <w:r w:rsidRPr="00352914">
        <w:rPr>
          <w:sz w:val="28"/>
          <w:szCs w:val="28"/>
        </w:rPr>
        <w:t xml:space="preserve"> в с. Фунтиках и с. Ключи с установкой видеонаблюдения. Проведены косметические ремонты поликлинического отделения, отделений стационара, </w:t>
      </w:r>
      <w:proofErr w:type="spellStart"/>
      <w:r w:rsidRPr="00352914">
        <w:rPr>
          <w:sz w:val="28"/>
          <w:szCs w:val="28"/>
        </w:rPr>
        <w:t>Парфеновской</w:t>
      </w:r>
      <w:proofErr w:type="spellEnd"/>
      <w:r w:rsidRPr="00352914">
        <w:rPr>
          <w:sz w:val="28"/>
          <w:szCs w:val="28"/>
        </w:rPr>
        <w:t xml:space="preserve"> врачебной амбулатории, установлено ограждение в поликлинике, видеонаблюдение в </w:t>
      </w:r>
      <w:proofErr w:type="spellStart"/>
      <w:r w:rsidRPr="00352914">
        <w:rPr>
          <w:sz w:val="28"/>
          <w:szCs w:val="28"/>
        </w:rPr>
        <w:t>Победимской</w:t>
      </w:r>
      <w:proofErr w:type="spellEnd"/>
      <w:r w:rsidRPr="00352914">
        <w:rPr>
          <w:sz w:val="28"/>
          <w:szCs w:val="28"/>
        </w:rPr>
        <w:t xml:space="preserve"> врачебной амбулатории.</w:t>
      </w:r>
    </w:p>
    <w:p w:rsidR="00352914" w:rsidRPr="00352914" w:rsidRDefault="00352914" w:rsidP="00427AE9">
      <w:pPr>
        <w:tabs>
          <w:tab w:val="left" w:pos="0"/>
        </w:tabs>
        <w:ind w:firstLine="709"/>
        <w:jc w:val="both"/>
        <w:rPr>
          <w:sz w:val="28"/>
          <w:szCs w:val="28"/>
        </w:rPr>
      </w:pPr>
      <w:r w:rsidRPr="00352914">
        <w:rPr>
          <w:sz w:val="28"/>
          <w:szCs w:val="28"/>
        </w:rPr>
        <w:t xml:space="preserve">Управлением социальной защиты населения по </w:t>
      </w:r>
      <w:proofErr w:type="spellStart"/>
      <w:r w:rsidRPr="00352914">
        <w:rPr>
          <w:sz w:val="28"/>
          <w:szCs w:val="28"/>
        </w:rPr>
        <w:t>Топчихинскому</w:t>
      </w:r>
      <w:proofErr w:type="spellEnd"/>
      <w:r w:rsidRPr="00352914">
        <w:rPr>
          <w:sz w:val="28"/>
          <w:szCs w:val="28"/>
        </w:rPr>
        <w:t xml:space="preserve"> району продолжают оказываться меры социальной поддержки различным категориям граждан. 47,4 % населения района получают 34 вида различных выплат и пособий. 8612 получателям за год выплачено 108,1 млн. руб.</w:t>
      </w:r>
    </w:p>
    <w:p w:rsidR="00352914" w:rsidRPr="00352914" w:rsidRDefault="00352914" w:rsidP="00427AE9">
      <w:pPr>
        <w:tabs>
          <w:tab w:val="left" w:pos="0"/>
        </w:tabs>
        <w:ind w:firstLine="709"/>
        <w:jc w:val="both"/>
        <w:rPr>
          <w:sz w:val="28"/>
          <w:szCs w:val="28"/>
        </w:rPr>
      </w:pPr>
      <w:r w:rsidRPr="00352914">
        <w:rPr>
          <w:sz w:val="28"/>
          <w:szCs w:val="28"/>
        </w:rPr>
        <w:t xml:space="preserve">Семьям с детьми предоставлено 18 видов выплат, из них 15 краевого значения. Для многодетных семей, а их в районе 445 семей, предусмотрено 11 видов выплат за счет средств краевого бюджета. Особое внимание уделено малообеспеченным. Продолжает предоставляться материнский капитал. На постоянном контроле социальных служб семьи участников СВО. </w:t>
      </w:r>
    </w:p>
    <w:p w:rsidR="00352914" w:rsidRPr="00FC4847" w:rsidRDefault="00352914" w:rsidP="00427AE9">
      <w:pPr>
        <w:tabs>
          <w:tab w:val="left" w:pos="0"/>
        </w:tabs>
        <w:ind w:firstLine="709"/>
        <w:jc w:val="both"/>
        <w:rPr>
          <w:sz w:val="28"/>
          <w:szCs w:val="28"/>
        </w:rPr>
      </w:pPr>
      <w:r w:rsidRPr="00352914">
        <w:rPr>
          <w:sz w:val="28"/>
          <w:szCs w:val="28"/>
        </w:rPr>
        <w:t>В связи с превышением предельных индексов за услуги ЖКХ Администрацией района выплачивается населению компенсация за услугу теплоснабжение, твердое топливо. За год выплачено 598 тыс. руб.</w:t>
      </w:r>
      <w:r w:rsidR="00F56225">
        <w:rPr>
          <w:sz w:val="28"/>
          <w:szCs w:val="28"/>
        </w:rPr>
        <w:t xml:space="preserve"> </w:t>
      </w:r>
      <w:r w:rsidRPr="00352914">
        <w:rPr>
          <w:sz w:val="28"/>
          <w:szCs w:val="28"/>
        </w:rPr>
        <w:t>338 получателям.</w:t>
      </w:r>
      <w:r w:rsidRPr="00352914">
        <w:rPr>
          <w:sz w:val="28"/>
          <w:szCs w:val="28"/>
          <w:lang w:val="en-US"/>
        </w:rPr>
        <w:t> </w:t>
      </w:r>
    </w:p>
    <w:p w:rsidR="00F56225" w:rsidRPr="00F56225" w:rsidRDefault="00F56225" w:rsidP="00F56225">
      <w:pPr>
        <w:ind w:firstLine="709"/>
        <w:jc w:val="both"/>
      </w:pPr>
      <w:r w:rsidRPr="00F56225">
        <w:rPr>
          <w:sz w:val="28"/>
          <w:szCs w:val="28"/>
        </w:rPr>
        <w:t>Большое количество социальных услуг предоставляют два краевых государственных бюджетных учреждения социального обслуживания: «</w:t>
      </w:r>
      <w:proofErr w:type="spellStart"/>
      <w:r w:rsidRPr="00F56225">
        <w:rPr>
          <w:sz w:val="28"/>
          <w:szCs w:val="28"/>
        </w:rPr>
        <w:t>Добродея</w:t>
      </w:r>
      <w:proofErr w:type="spellEnd"/>
      <w:r w:rsidRPr="00F56225">
        <w:rPr>
          <w:sz w:val="28"/>
          <w:szCs w:val="28"/>
        </w:rPr>
        <w:t xml:space="preserve">» в с. Фунтики и «Комплексный центр социального обслуживания населения» в с. Топчиха, а также 3 негосударственных социальных общежития в селах Володарка, </w:t>
      </w:r>
      <w:proofErr w:type="spellStart"/>
      <w:r w:rsidRPr="00F56225">
        <w:rPr>
          <w:sz w:val="28"/>
          <w:szCs w:val="28"/>
        </w:rPr>
        <w:t>Парфёново</w:t>
      </w:r>
      <w:proofErr w:type="spellEnd"/>
      <w:r w:rsidRPr="00F56225">
        <w:rPr>
          <w:sz w:val="28"/>
          <w:szCs w:val="28"/>
        </w:rPr>
        <w:t xml:space="preserve"> и Побед</w:t>
      </w:r>
      <w:r>
        <w:rPr>
          <w:sz w:val="28"/>
          <w:szCs w:val="28"/>
        </w:rPr>
        <w:t>им</w:t>
      </w:r>
      <w:r w:rsidRPr="00F56225">
        <w:t>.</w:t>
      </w:r>
    </w:p>
    <w:p w:rsidR="00F56225" w:rsidRPr="00352914" w:rsidRDefault="00F56225" w:rsidP="00427AE9">
      <w:pPr>
        <w:tabs>
          <w:tab w:val="left" w:pos="0"/>
        </w:tabs>
        <w:ind w:firstLine="709"/>
        <w:jc w:val="both"/>
        <w:rPr>
          <w:sz w:val="28"/>
          <w:szCs w:val="28"/>
        </w:rPr>
      </w:pPr>
    </w:p>
    <w:tbl>
      <w:tblPr>
        <w:tblW w:w="9781" w:type="dxa"/>
        <w:tblCellSpacing w:w="15" w:type="dxa"/>
        <w:tblCellMar>
          <w:top w:w="15" w:type="dxa"/>
          <w:left w:w="15" w:type="dxa"/>
          <w:bottom w:w="15" w:type="dxa"/>
          <w:right w:w="15" w:type="dxa"/>
        </w:tblCellMar>
        <w:tblLook w:val="04A0" w:firstRow="1" w:lastRow="0" w:firstColumn="1" w:lastColumn="0" w:noHBand="0" w:noVBand="1"/>
      </w:tblPr>
      <w:tblGrid>
        <w:gridCol w:w="2018"/>
        <w:gridCol w:w="2802"/>
        <w:gridCol w:w="910"/>
        <w:gridCol w:w="66"/>
        <w:gridCol w:w="3985"/>
      </w:tblGrid>
      <w:tr w:rsidR="00352914" w:rsidRPr="00352914" w:rsidTr="00352914">
        <w:trPr>
          <w:tblCellSpacing w:w="15" w:type="dxa"/>
        </w:trPr>
        <w:tc>
          <w:tcPr>
            <w:tcW w:w="1973" w:type="dxa"/>
            <w:vAlign w:val="center"/>
            <w:hideMark/>
          </w:tcPr>
          <w:p w:rsidR="00352914" w:rsidRPr="00352914" w:rsidRDefault="00352914" w:rsidP="00352914">
            <w:pPr>
              <w:jc w:val="right"/>
              <w:rPr>
                <w:sz w:val="28"/>
                <w:szCs w:val="28"/>
              </w:rPr>
            </w:pPr>
            <w:r w:rsidRPr="00352914">
              <w:rPr>
                <w:sz w:val="28"/>
                <w:szCs w:val="28"/>
              </w:rPr>
              <w:t xml:space="preserve"> </w:t>
            </w:r>
          </w:p>
          <w:p w:rsidR="00352914" w:rsidRPr="00352914" w:rsidRDefault="00352914" w:rsidP="00352914">
            <w:pPr>
              <w:ind w:left="-2172" w:firstLine="2172"/>
              <w:rPr>
                <w:sz w:val="28"/>
                <w:szCs w:val="28"/>
              </w:rPr>
            </w:pPr>
            <w:proofErr w:type="spellStart"/>
            <w:r w:rsidRPr="00352914">
              <w:rPr>
                <w:sz w:val="28"/>
                <w:szCs w:val="28"/>
                <w:lang w:val="en-US"/>
              </w:rPr>
              <w:t>Глава</w:t>
            </w:r>
            <w:proofErr w:type="spellEnd"/>
            <w:r w:rsidRPr="00352914">
              <w:rPr>
                <w:sz w:val="28"/>
                <w:szCs w:val="28"/>
              </w:rPr>
              <w:t xml:space="preserve"> района</w:t>
            </w:r>
          </w:p>
        </w:tc>
        <w:tc>
          <w:tcPr>
            <w:tcW w:w="2772" w:type="dxa"/>
            <w:vAlign w:val="bottom"/>
            <w:hideMark/>
          </w:tcPr>
          <w:p w:rsidR="00352914" w:rsidRPr="00352914" w:rsidRDefault="00352914" w:rsidP="00352914">
            <w:pPr>
              <w:rPr>
                <w:sz w:val="28"/>
                <w:szCs w:val="28"/>
              </w:rPr>
            </w:pPr>
            <w:r w:rsidRPr="00352914">
              <w:rPr>
                <w:sz w:val="28"/>
                <w:szCs w:val="28"/>
              </w:rPr>
              <w:t xml:space="preserve">             </w:t>
            </w:r>
          </w:p>
          <w:p w:rsidR="00352914" w:rsidRPr="00352914" w:rsidRDefault="00352914" w:rsidP="00352914">
            <w:pPr>
              <w:rPr>
                <w:sz w:val="28"/>
                <w:szCs w:val="28"/>
              </w:rPr>
            </w:pPr>
            <w:r w:rsidRPr="00352914">
              <w:rPr>
                <w:sz w:val="28"/>
                <w:szCs w:val="28"/>
              </w:rPr>
              <w:t xml:space="preserve">         ___</w:t>
            </w:r>
            <w:r>
              <w:rPr>
                <w:sz w:val="28"/>
                <w:szCs w:val="28"/>
              </w:rPr>
              <w:t>_______</w:t>
            </w:r>
            <w:r w:rsidRPr="00352914">
              <w:rPr>
                <w:sz w:val="28"/>
                <w:szCs w:val="28"/>
              </w:rPr>
              <w:t>_</w:t>
            </w:r>
          </w:p>
        </w:tc>
        <w:tc>
          <w:tcPr>
            <w:tcW w:w="4916" w:type="dxa"/>
            <w:gridSpan w:val="3"/>
            <w:vAlign w:val="bottom"/>
            <w:hideMark/>
          </w:tcPr>
          <w:p w:rsidR="00352914" w:rsidRDefault="00352914" w:rsidP="00352914">
            <w:pPr>
              <w:rPr>
                <w:sz w:val="28"/>
                <w:szCs w:val="28"/>
              </w:rPr>
            </w:pPr>
            <w:r w:rsidRPr="00352914">
              <w:rPr>
                <w:sz w:val="28"/>
                <w:szCs w:val="28"/>
              </w:rPr>
              <w:t xml:space="preserve">                       </w:t>
            </w:r>
          </w:p>
          <w:p w:rsidR="00352914" w:rsidRPr="00352914" w:rsidRDefault="00352914" w:rsidP="00352914">
            <w:pPr>
              <w:rPr>
                <w:sz w:val="28"/>
                <w:szCs w:val="28"/>
                <w:lang w:val="en-US"/>
              </w:rPr>
            </w:pPr>
            <w:r>
              <w:rPr>
                <w:sz w:val="28"/>
                <w:szCs w:val="28"/>
              </w:rPr>
              <w:t xml:space="preserve">                  </w:t>
            </w:r>
            <w:r w:rsidRPr="00352914">
              <w:rPr>
                <w:sz w:val="28"/>
                <w:szCs w:val="28"/>
              </w:rPr>
              <w:t xml:space="preserve">   </w:t>
            </w:r>
            <w:r w:rsidRPr="00352914">
              <w:rPr>
                <w:sz w:val="28"/>
                <w:szCs w:val="28"/>
                <w:lang w:val="en-US"/>
              </w:rPr>
              <w:t xml:space="preserve">Тренькаев </w:t>
            </w:r>
            <w:proofErr w:type="spellStart"/>
            <w:r w:rsidRPr="00352914">
              <w:rPr>
                <w:sz w:val="28"/>
                <w:szCs w:val="28"/>
                <w:lang w:val="en-US"/>
              </w:rPr>
              <w:t>Денис</w:t>
            </w:r>
            <w:proofErr w:type="spellEnd"/>
            <w:r w:rsidRPr="00352914">
              <w:rPr>
                <w:sz w:val="28"/>
                <w:szCs w:val="28"/>
                <w:lang w:val="en-US"/>
              </w:rPr>
              <w:t xml:space="preserve"> </w:t>
            </w:r>
            <w:proofErr w:type="spellStart"/>
            <w:r w:rsidRPr="00352914">
              <w:rPr>
                <w:sz w:val="28"/>
                <w:szCs w:val="28"/>
                <w:lang w:val="en-US"/>
              </w:rPr>
              <w:t>Сергеевич</w:t>
            </w:r>
            <w:proofErr w:type="spellEnd"/>
          </w:p>
        </w:tc>
      </w:tr>
      <w:tr w:rsidR="00352914" w:rsidRPr="00352914" w:rsidTr="00352914">
        <w:trPr>
          <w:tblCellSpacing w:w="15" w:type="dxa"/>
        </w:trPr>
        <w:tc>
          <w:tcPr>
            <w:tcW w:w="1973" w:type="dxa"/>
            <w:vAlign w:val="center"/>
            <w:hideMark/>
          </w:tcPr>
          <w:p w:rsidR="00352914" w:rsidRPr="00352914" w:rsidRDefault="00352914" w:rsidP="00352914">
            <w:pPr>
              <w:rPr>
                <w:sz w:val="28"/>
                <w:szCs w:val="28"/>
              </w:rPr>
            </w:pPr>
            <w:r w:rsidRPr="00352914">
              <w:rPr>
                <w:sz w:val="28"/>
                <w:szCs w:val="28"/>
              </w:rPr>
              <w:t> </w:t>
            </w:r>
          </w:p>
        </w:tc>
        <w:tc>
          <w:tcPr>
            <w:tcW w:w="2772" w:type="dxa"/>
            <w:hideMark/>
          </w:tcPr>
          <w:p w:rsidR="00352914" w:rsidRPr="00352914" w:rsidRDefault="00352914" w:rsidP="00352914">
            <w:pPr>
              <w:rPr>
                <w:sz w:val="28"/>
                <w:szCs w:val="28"/>
              </w:rPr>
            </w:pPr>
          </w:p>
        </w:tc>
        <w:tc>
          <w:tcPr>
            <w:tcW w:w="4916" w:type="dxa"/>
            <w:gridSpan w:val="3"/>
            <w:vAlign w:val="center"/>
            <w:hideMark/>
          </w:tcPr>
          <w:p w:rsidR="00352914" w:rsidRPr="00352914" w:rsidRDefault="00352914" w:rsidP="00352914">
            <w:pPr>
              <w:rPr>
                <w:sz w:val="28"/>
                <w:szCs w:val="28"/>
              </w:rPr>
            </w:pPr>
            <w:r w:rsidRPr="00352914">
              <w:rPr>
                <w:sz w:val="28"/>
                <w:szCs w:val="28"/>
              </w:rPr>
              <w:t> </w:t>
            </w:r>
          </w:p>
        </w:tc>
      </w:tr>
      <w:tr w:rsidR="00352914" w:rsidRPr="00352914" w:rsidTr="00352914">
        <w:trPr>
          <w:gridAfter w:val="1"/>
          <w:wAfter w:w="3940" w:type="dxa"/>
          <w:trHeight w:val="1744"/>
          <w:tblCellSpacing w:w="15" w:type="dxa"/>
        </w:trPr>
        <w:tc>
          <w:tcPr>
            <w:tcW w:w="5685" w:type="dxa"/>
            <w:gridSpan w:val="3"/>
            <w:vAlign w:val="center"/>
            <w:hideMark/>
          </w:tcPr>
          <w:p w:rsidR="00352914" w:rsidRPr="00352914" w:rsidRDefault="00352914" w:rsidP="00352914">
            <w:pPr>
              <w:rPr>
                <w:sz w:val="28"/>
                <w:szCs w:val="28"/>
              </w:rPr>
            </w:pPr>
            <w:r w:rsidRPr="00352914">
              <w:rPr>
                <w:sz w:val="28"/>
                <w:szCs w:val="28"/>
              </w:rPr>
              <w:lastRenderedPageBreak/>
              <w:t> </w:t>
            </w:r>
          </w:p>
        </w:tc>
        <w:tc>
          <w:tcPr>
            <w:tcW w:w="0" w:type="auto"/>
            <w:vAlign w:val="center"/>
            <w:hideMark/>
          </w:tcPr>
          <w:p w:rsidR="00352914" w:rsidRPr="00352914" w:rsidRDefault="00352914" w:rsidP="00352914">
            <w:pPr>
              <w:rPr>
                <w:sz w:val="28"/>
                <w:szCs w:val="28"/>
              </w:rPr>
            </w:pPr>
          </w:p>
        </w:tc>
      </w:tr>
    </w:tbl>
    <w:p w:rsidR="00352914" w:rsidRPr="00352914" w:rsidRDefault="00352914" w:rsidP="00352914">
      <w:pPr>
        <w:rPr>
          <w:sz w:val="28"/>
          <w:szCs w:val="28"/>
        </w:rPr>
      </w:pPr>
    </w:p>
    <w:p w:rsidR="00D319CA" w:rsidRPr="00352914" w:rsidRDefault="00D319CA" w:rsidP="00352914">
      <w:pPr>
        <w:rPr>
          <w:sz w:val="28"/>
          <w:szCs w:val="28"/>
        </w:rPr>
      </w:pPr>
    </w:p>
    <w:sectPr w:rsidR="00D319CA" w:rsidRPr="00352914" w:rsidSect="00B654AD">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C45" w:rsidRDefault="00714C45">
      <w:r>
        <w:separator/>
      </w:r>
    </w:p>
  </w:endnote>
  <w:endnote w:type="continuationSeparator" w:id="0">
    <w:p w:rsidR="00714C45" w:rsidRDefault="0071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142" w:rsidRDefault="00714C4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142" w:rsidRDefault="000F349E" w:rsidP="00D47142">
    <w:pPr>
      <w:pStyle w:val="a6"/>
      <w:jc w:val="right"/>
    </w:pPr>
    <w:r>
      <w:fldChar w:fldCharType="begin"/>
    </w:r>
    <w:r>
      <w:instrText xml:space="preserve"> PAGE  \* MERGEFORMAT </w:instrText>
    </w:r>
    <w:r>
      <w:fldChar w:fldCharType="separate"/>
    </w:r>
    <w:r w:rsidR="00FC4847">
      <w:rPr>
        <w:noProof/>
      </w:rPr>
      <w:t>12</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142" w:rsidRDefault="00714C4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C45" w:rsidRDefault="00714C45">
      <w:r>
        <w:separator/>
      </w:r>
    </w:p>
  </w:footnote>
  <w:footnote w:type="continuationSeparator" w:id="0">
    <w:p w:rsidR="00714C45" w:rsidRDefault="00714C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142" w:rsidRDefault="00714C45">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142" w:rsidRDefault="00714C45">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142" w:rsidRDefault="00714C4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14"/>
    <w:rsid w:val="000F349E"/>
    <w:rsid w:val="00352914"/>
    <w:rsid w:val="00427AE9"/>
    <w:rsid w:val="005C1604"/>
    <w:rsid w:val="00714C45"/>
    <w:rsid w:val="00901132"/>
    <w:rsid w:val="00A82FDE"/>
    <w:rsid w:val="00D319CA"/>
    <w:rsid w:val="00D65534"/>
    <w:rsid w:val="00F56225"/>
    <w:rsid w:val="00FC4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793B0"/>
  <w15:chartTrackingRefBased/>
  <w15:docId w15:val="{87DF583C-1062-49DE-8549-AB78B5ED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9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52914"/>
    <w:rPr>
      <w:b/>
      <w:bCs/>
    </w:rPr>
  </w:style>
  <w:style w:type="paragraph" w:styleId="a4">
    <w:name w:val="header"/>
    <w:basedOn w:val="a"/>
    <w:link w:val="a5"/>
    <w:uiPriority w:val="99"/>
    <w:semiHidden/>
    <w:unhideWhenUsed/>
    <w:rsid w:val="00352914"/>
    <w:pPr>
      <w:tabs>
        <w:tab w:val="center" w:pos="4677"/>
        <w:tab w:val="right" w:pos="9355"/>
      </w:tabs>
    </w:pPr>
  </w:style>
  <w:style w:type="character" w:customStyle="1" w:styleId="a5">
    <w:name w:val="Верхний колонтитул Знак"/>
    <w:basedOn w:val="a0"/>
    <w:link w:val="a4"/>
    <w:uiPriority w:val="99"/>
    <w:semiHidden/>
    <w:rsid w:val="00352914"/>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352914"/>
    <w:pPr>
      <w:tabs>
        <w:tab w:val="center" w:pos="4677"/>
        <w:tab w:val="right" w:pos="9355"/>
      </w:tabs>
    </w:pPr>
  </w:style>
  <w:style w:type="character" w:customStyle="1" w:styleId="a7">
    <w:name w:val="Нижний колонтитул Знак"/>
    <w:basedOn w:val="a0"/>
    <w:link w:val="a6"/>
    <w:uiPriority w:val="99"/>
    <w:semiHidden/>
    <w:rsid w:val="00352914"/>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56225"/>
    <w:rPr>
      <w:rFonts w:ascii="Segoe UI" w:hAnsi="Segoe UI" w:cs="Segoe UI"/>
      <w:sz w:val="18"/>
      <w:szCs w:val="18"/>
    </w:rPr>
  </w:style>
  <w:style w:type="character" w:customStyle="1" w:styleId="a9">
    <w:name w:val="Текст выноски Знак"/>
    <w:basedOn w:val="a0"/>
    <w:link w:val="a8"/>
    <w:uiPriority w:val="99"/>
    <w:semiHidden/>
    <w:rsid w:val="00F5622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4366</Words>
  <Characters>24891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6</cp:revision>
  <cp:lastPrinted>2025-04-22T08:45:00Z</cp:lastPrinted>
  <dcterms:created xsi:type="dcterms:W3CDTF">2025-04-22T07:35:00Z</dcterms:created>
  <dcterms:modified xsi:type="dcterms:W3CDTF">2025-04-22T08:55:00Z</dcterms:modified>
</cp:coreProperties>
</file>