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к прогнозу социально-экономического развития муниципального образования </w:t>
      </w:r>
      <w:r w:rsidR="00C17058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Макарьевский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 Топчихинского района Алтайского края на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Прогноз социально-экономического развития муниципального образования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Макарьевский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 Топчихинского района на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Топчихинском районе и на территории сельсовета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  <w:proofErr w:type="gramEnd"/>
    </w:p>
    <w:p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Общая оценка социально-экономической ситуации в муниципальном образовании </w:t>
      </w:r>
      <w:r w:rsidR="00C17058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Макарьевский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населения.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Хоть за последний год рождаемость незначительно увеличилась,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что в общем мало влияет на естественный прирост населения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 т</w:t>
      </w:r>
      <w:proofErr w:type="gramStart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.к</w:t>
      </w:r>
      <w:proofErr w:type="gramEnd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смертность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:rsidR="00734A2C" w:rsidRPr="00734A2C" w:rsidRDefault="00A37186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2024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gramStart"/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наблюдался</w:t>
      </w:r>
      <w:proofErr w:type="gramEnd"/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ая прибыль  1 человек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коэффициент миграционного прироста составил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–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11,3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прогнозный период ожидается стабильная положительная динамика в миграции.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остался на прежнем уровне и составил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,1 % к численности трудоспособного населения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</w:p>
    <w:p w:rsidR="00702552" w:rsidRPr="00702552" w:rsidRDefault="00702552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Производство сельскохозяйственной продукции в натуральном выражении в 20</w:t>
      </w:r>
      <w:r w:rsid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так же неоднозначно</w:t>
      </w:r>
      <w:r w:rsidRPr="00EE6DA1">
        <w:rPr>
          <w:rFonts w:ascii="Times New Roman" w:eastAsia="Times New Roman" w:hAnsi="Times New Roman" w:cs="Times New Roman"/>
          <w:color w:val="FF0000"/>
          <w:kern w:val="1"/>
          <w:sz w:val="26"/>
          <w:szCs w:val="26"/>
          <w:lang w:eastAsia="ru-RU"/>
        </w:rPr>
        <w:t xml:space="preserve">. </w:t>
      </w:r>
      <w:r w:rsidRPr="00C2662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Количество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крупно-рогатого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скота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и свиней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во всех категориях хозяйств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значительно снизилось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однако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количество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птиц стало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немного </w:t>
      </w:r>
      <w:r w:rsidR="00010F3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б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ольше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потребительском рынке в отчетном периоде наблюдается положительная динамика.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:rsidR="000F3200" w:rsidRPr="000F3200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статистическим данным, с учетом итогов Всероссийской переписи нас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еления 2020 года на   01.01.2025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533 человека.</w:t>
      </w:r>
    </w:p>
    <w:p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 xml:space="preserve">Снижение численности трудоспособного населения села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обусловлено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том числе миграцией молодежи в города с целью поступления в  учебные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702552" w:rsidRPr="00C17058" w:rsidRDefault="00702552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</w:t>
      </w:r>
      <w:r w:rsid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в сельсовете наблюдалась миграционная 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прибыль населения на 1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человека. </w:t>
      </w:r>
    </w:p>
    <w:p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на уровне (-1)- (-3,2) на 1000 чел. населения.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Сельское хозяйство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Основным направлением экономики сельсовета является сельское хозяйство, которое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представлено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3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крестьянск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(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фермерски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х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) хозяйства. Основная специализация сельхозпредприятия – производство растениеводческой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продукции</w:t>
      </w:r>
      <w:r w:rsidR="0000273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и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00273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одно крестьянско-фермерское хозяйство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00273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специализируются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на производстве молока. </w:t>
      </w:r>
    </w:p>
    <w:p w:rsidR="00702552" w:rsidRPr="00C26623" w:rsidRDefault="00702552" w:rsidP="007025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сельскохозяйственной отрасли сельсовета 20</w:t>
      </w:r>
      <w:r w:rsidR="00BE2E6D"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A37186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 стал успешным из-за благоприятных погодных условий.</w:t>
      </w:r>
    </w:p>
    <w:p w:rsidR="000F3200" w:rsidRPr="00702552" w:rsidRDefault="00702552" w:rsidP="00002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Активное участие сельхозтоваропроизводителей в адресных программах, получение субъектами государственной поддержки различных форм, стимулирование инвестиционной деятельности в отрасли 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производства.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00273B" w:rsidP="0070255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="00702552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Бюджет</w:t>
      </w:r>
    </w:p>
    <w:p w:rsidR="000F3200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доходов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отчетном периоде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составит</w:t>
      </w:r>
      <w:r w:rsidR="00AA6B1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A37186" w:rsidRPr="00A37186">
        <w:rPr>
          <w:rFonts w:ascii="Times New Roman" w:hAnsi="Times New Roman" w:cs="Times New Roman"/>
          <w:sz w:val="28"/>
          <w:szCs w:val="28"/>
        </w:rPr>
        <w:t>4883,242</w:t>
      </w:r>
      <w:r w:rsidR="00A37186">
        <w:rPr>
          <w:rFonts w:ascii="Times New Roman" w:hAnsi="Times New Roman" w:cs="Times New Roman"/>
          <w:sz w:val="28"/>
          <w:szCs w:val="28"/>
        </w:rPr>
        <w:t xml:space="preserve"> </w:t>
      </w:r>
      <w:r w:rsidRPr="00A3718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тыс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 руб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прогнозируемый период не ожидается уменьшение поступлений НДФЛ,  сокращение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том числе арендной платы за земли сдачи в аренду муниципального имущества. 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lastRenderedPageBreak/>
        <w:t>В 202</w:t>
      </w:r>
      <w:r w:rsidR="00A37186">
        <w:rPr>
          <w:rFonts w:ascii="Times New Roman" w:eastAsia="Calibri" w:hAnsi="Times New Roman" w:cs="Times New Roman"/>
          <w:kern w:val="1"/>
          <w:sz w:val="26"/>
          <w:szCs w:val="26"/>
        </w:rPr>
        <w:t>4</w:t>
      </w: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реализуются </w:t>
      </w:r>
      <w:r w:rsidR="00AA6B1E">
        <w:rPr>
          <w:rFonts w:ascii="Times New Roman" w:eastAsia="Times New Roman" w:hAnsi="Times New Roman" w:cs="Times New Roman"/>
          <w:kern w:val="1"/>
          <w:sz w:val="26"/>
          <w:szCs w:val="26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муниципальных программ.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Общие расходы бюджета в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по оценке </w:t>
      </w:r>
      <w:r w:rsidR="00F90D53" w:rsidRP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составят</w:t>
      </w:r>
      <w:r w:rsidR="00A37186" w:rsidRP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A37186" w:rsidRPr="00A37186">
        <w:rPr>
          <w:rFonts w:ascii="Times New Roman" w:hAnsi="Times New Roman" w:cs="Times New Roman"/>
          <w:sz w:val="26"/>
          <w:szCs w:val="26"/>
        </w:rPr>
        <w:t>4883,2</w:t>
      </w:r>
      <w:r w:rsidR="00A3718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20087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тыс.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руб. В структуре исполнения бюджета по отраслям сохраняется его социальная направленность. В период до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-202</w:t>
      </w:r>
      <w:bookmarkStart w:id="0" w:name="_GoBack"/>
      <w:bookmarkEnd w:id="0"/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8. Перечень основных проблемных вопросов,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</w:t>
      </w:r>
      <w:r w:rsidR="00AA6B1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Макарьевского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сельсовета, можно выделить те из них, которые, по оценке, останутся актуальными и в прогнозном периоде: 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отсутствие промышленного производства на территории сельсовета;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72512" w:rsidRDefault="00672512"/>
    <w:sectPr w:rsidR="00672512" w:rsidSect="0058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52"/>
    <w:rsid w:val="0000273B"/>
    <w:rsid w:val="00010F33"/>
    <w:rsid w:val="00053D09"/>
    <w:rsid w:val="000F3200"/>
    <w:rsid w:val="00145E22"/>
    <w:rsid w:val="001943D0"/>
    <w:rsid w:val="0020087A"/>
    <w:rsid w:val="003F5656"/>
    <w:rsid w:val="00424848"/>
    <w:rsid w:val="00583EC4"/>
    <w:rsid w:val="00672512"/>
    <w:rsid w:val="00702552"/>
    <w:rsid w:val="00734A2C"/>
    <w:rsid w:val="008E3535"/>
    <w:rsid w:val="00960162"/>
    <w:rsid w:val="00A37186"/>
    <w:rsid w:val="00A6379C"/>
    <w:rsid w:val="00AA6B1E"/>
    <w:rsid w:val="00BC22B1"/>
    <w:rsid w:val="00BE2E6D"/>
    <w:rsid w:val="00BE4C38"/>
    <w:rsid w:val="00C17058"/>
    <w:rsid w:val="00C26623"/>
    <w:rsid w:val="00CB3E8A"/>
    <w:rsid w:val="00D15DDE"/>
    <w:rsid w:val="00E314FE"/>
    <w:rsid w:val="00ED3115"/>
    <w:rsid w:val="00EE6DA1"/>
    <w:rsid w:val="00F90D53"/>
    <w:rsid w:val="00FA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celixoz-priemnai</cp:lastModifiedBy>
  <cp:revision>18</cp:revision>
  <cp:lastPrinted>2022-11-18T08:39:00Z</cp:lastPrinted>
  <dcterms:created xsi:type="dcterms:W3CDTF">2021-11-10T04:42:00Z</dcterms:created>
  <dcterms:modified xsi:type="dcterms:W3CDTF">2025-10-20T07:40:00Z</dcterms:modified>
</cp:coreProperties>
</file>