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1"/>
        <w:ind w:firstLine="0"/>
        <w:jc w:val="left"/>
        <w:rPr>
          <w:b/>
          <w:bCs/>
          <w:sz w:val="30"/>
          <w:szCs w:val="30"/>
          <w:highlight w:val="none"/>
          <w:shd w:val="clear" w:color="auto" w:fill="fffffe"/>
        </w:rPr>
      </w:pPr>
      <w:r>
        <w:rPr>
          <w:b/>
          <w:sz w:val="30"/>
          <w:szCs w:val="30"/>
          <w:shd w:val="clear" w:color="auto" w:fill="fffff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980955" cy="733273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68638350" name="Рисунок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>
                          <a:alphaModFix amt="100000"/>
                          <a:lum bright="0" contrast="0"/>
                        </a:blip>
                        <a:stretch/>
                      </pic:blipFill>
                      <pic:spPr bwMode="auto">
                        <a:xfrm rot="0" flipH="0" flipV="0">
                          <a:off x="0" y="0"/>
                          <a:ext cx="1980954" cy="733266"/>
                        </a:xfrm>
                        <a:prstGeom prst="rect">
                          <a:avLst/>
                        </a:prstGeom>
                        <a:effectLst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55.98pt;height:57.74pt;mso-wrap-distance-left:0.00pt;mso-wrap-distance-top:0.00pt;mso-wrap-distance-right:0.00pt;mso-wrap-distance-bottom:0.00pt;rotation:0;" stroked="false">
                <v:path textboxrect="0,0,0,0"/>
                <v:imagedata r:id="rId8" o:title=""/>
              </v:shape>
            </w:pict>
          </mc:Fallback>
        </mc:AlternateContent>
      </w:r>
      <w:r>
        <w:rPr>
          <w:b/>
          <w:bCs/>
          <w:sz w:val="30"/>
          <w:szCs w:val="30"/>
          <w:highlight w:val="none"/>
          <w:shd w:val="clear" w:color="auto" w:fill="fffffe"/>
        </w:rPr>
      </w:r>
      <w:r>
        <w:rPr>
          <w:b/>
          <w:bCs/>
          <w:sz w:val="30"/>
          <w:szCs w:val="30"/>
          <w:highlight w:val="none"/>
          <w:shd w:val="clear" w:color="auto" w:fill="fffffe"/>
        </w:rPr>
      </w:r>
    </w:p>
    <w:p>
      <w:pPr>
        <w:pStyle w:val="837"/>
        <w:jc w:val="right"/>
        <w:rPr>
          <w:rFonts w:ascii="Times New Roman" w:hAnsi="Times New Roman" w:eastAsia="Times New Roman" w:cs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28"/>
        </w:rPr>
        <w:t xml:space="preserve">ПРЕСС-РЕЛИЗ</w:t>
      </w:r>
      <w:r>
        <w:rPr>
          <w:rFonts w:ascii="Times New Roman" w:hAnsi="Times New Roman" w:eastAsia="Times New Roman" w:cs="Times New Roman"/>
          <w:b/>
          <w:bCs/>
          <w:sz w:val="32"/>
          <w:szCs w:val="32"/>
          <w:highlight w:val="none"/>
        </w:rPr>
        <w:br/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13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.04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.2025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highlight w:val="none"/>
        </w:rPr>
      </w:r>
    </w:p>
    <w:p>
      <w:pPr>
        <w:jc w:val="left"/>
        <w:rPr>
          <w:b/>
          <w:bCs/>
          <w:highlight w:val="none"/>
        </w:rPr>
      </w:pPr>
      <w:r>
        <w:rPr>
          <w:rFonts w:ascii="Times New Roman" w:hAnsi="Times New Roman" w:cs="Times New Roman"/>
        </w:rPr>
        <w:br/>
      </w:r>
      <w:r>
        <w:rPr>
          <w:b/>
          <w:bCs/>
          <w:highlight w:val="none"/>
        </w:rPr>
      </w:r>
    </w:p>
    <w:p>
      <w:pPr>
        <w:jc w:val="left"/>
        <w:rPr>
          <w:b/>
          <w:bCs/>
        </w:rPr>
      </w:pPr>
      <w:r>
        <w:rPr>
          <w:b/>
          <w:highlight w:val="none"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  <w:highlight w:val="none"/>
        </w:rPr>
      </w:pPr>
      <w:r>
        <w:rPr>
          <w:b/>
        </w:rPr>
        <w:t xml:space="preserve">Как получить сведения из государственного фонда данных землеустройства? Управление Росреестра по Алтайскому краю разъясняет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r/>
      <w:r/>
    </w:p>
    <w:p>
      <w:pPr>
        <w:pStyle w:val="835"/>
        <w:ind w:firstLine="851"/>
        <w:jc w:val="both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а Едином портале государственных</w:t>
      </w:r>
      <w:r>
        <w:rPr>
          <w:sz w:val="28"/>
          <w:szCs w:val="28"/>
        </w:rPr>
        <w:t xml:space="preserve"> и муниципальных услуг</w:t>
      </w:r>
      <w:r>
        <w:rPr>
          <w:sz w:val="28"/>
          <w:szCs w:val="28"/>
        </w:rPr>
        <w:t xml:space="preserve"> (ЕПГУ) реализована возможность подачи заявлений о предоставлении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пользование материалов и данных государственного фонда данных, полученных в результате проведения землеустройства (ГФДЗ).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ind w:firstLine="851"/>
        <w:jc w:val="both"/>
        <w:spacing w:before="0" w:beforeAutospacing="0" w:after="0" w:afterAutospacing="0"/>
        <w:shd w:val="clear" w:color="auto" w:fill="ffffff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«Ранее граждане могли подать заявление о предоставлении материалов из ГФДЗ только при личном обращении в офисы местных подразделений ведомства или по почте. С 2023 года добавился ещё и дистанционный способ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 xml:space="preserve"> с помощью </w:t>
      </w:r>
      <w:r>
        <w:rPr>
          <w:i/>
          <w:sz w:val="28"/>
          <w:szCs w:val="28"/>
        </w:rPr>
        <w:t xml:space="preserve">ЕПГУ</w:t>
      </w:r>
      <w:r>
        <w:rPr>
          <w:i/>
          <w:sz w:val="28"/>
          <w:szCs w:val="28"/>
        </w:rPr>
        <w:t xml:space="preserve">. Физические и юридические лица вправе воспользоваться такой возможностью, подав заявления прямо из своего дома или офиса </w:t>
      </w:r>
      <w:bookmarkStart w:id="0" w:name="_GoBack"/>
      <w:r/>
      <w:bookmarkEnd w:id="0"/>
      <w:r>
        <w:rPr>
          <w:i/>
          <w:sz w:val="28"/>
          <w:szCs w:val="28"/>
        </w:rPr>
        <w:t xml:space="preserve">посре</w:t>
      </w:r>
      <w:r>
        <w:rPr>
          <w:i/>
          <w:sz w:val="28"/>
          <w:szCs w:val="28"/>
        </w:rPr>
        <w:t xml:space="preserve">дством платформы государственного сервиса</w:t>
      </w:r>
      <w:r>
        <w:rPr>
          <w:i/>
          <w:sz w:val="28"/>
          <w:szCs w:val="28"/>
        </w:rPr>
        <w:t xml:space="preserve">. Обращения поступят специалистам </w:t>
      </w:r>
      <w:r>
        <w:rPr>
          <w:i/>
          <w:sz w:val="28"/>
          <w:szCs w:val="28"/>
        </w:rPr>
        <w:t xml:space="preserve">филиала ППК «Роскадастр» по Алтайскому краю</w:t>
      </w:r>
      <w:r>
        <w:rPr>
          <w:i/>
          <w:sz w:val="28"/>
          <w:szCs w:val="28"/>
        </w:rPr>
        <w:t xml:space="preserve">, и они своевременно их обработают, – поясняет </w:t>
      </w:r>
      <w:r>
        <w:rPr>
          <w:i/>
          <w:sz w:val="28"/>
          <w:szCs w:val="28"/>
        </w:rPr>
        <w:t xml:space="preserve">заместитель руководителя Управления Росреестра по Алтайскому краю Елена Саулина</w:t>
      </w:r>
      <w:r>
        <w:rPr>
          <w:i/>
          <w:sz w:val="28"/>
          <w:szCs w:val="28"/>
        </w:rPr>
        <w:t xml:space="preserve">. – Благодаря переводу документов в электронный вид в рамках госпрограммы «Национальная система пространственных данных» скорость выдачи документов через ЕПГУ существенно сокращается. При этом сведения предоставляются заинтересованным лицам бесплатно</w:t>
      </w:r>
      <w:r>
        <w:rPr>
          <w:i/>
          <w:sz w:val="28"/>
          <w:szCs w:val="28"/>
        </w:rPr>
        <w:t xml:space="preserve">. </w:t>
      </w:r>
      <w:r>
        <w:rPr>
          <w:i/>
          <w:sz w:val="28"/>
          <w:szCs w:val="28"/>
        </w:rPr>
        <w:t xml:space="preserve">Обращаем внимание, что для использования сервиса необходима подтвержденная учетная запись на </w:t>
      </w:r>
      <w:r>
        <w:rPr>
          <w:i/>
          <w:sz w:val="28"/>
          <w:szCs w:val="28"/>
        </w:rPr>
        <w:t xml:space="preserve">п</w:t>
      </w:r>
      <w:r>
        <w:rPr>
          <w:i/>
          <w:sz w:val="28"/>
          <w:szCs w:val="28"/>
        </w:rPr>
        <w:t xml:space="preserve">ортале </w:t>
      </w:r>
      <w:r>
        <w:rPr>
          <w:i/>
          <w:sz w:val="28"/>
          <w:szCs w:val="28"/>
        </w:rPr>
        <w:t xml:space="preserve">ЕПГУ</w:t>
      </w:r>
      <w:r>
        <w:rPr>
          <w:i/>
          <w:sz w:val="28"/>
          <w:szCs w:val="28"/>
        </w:rPr>
        <w:t xml:space="preserve">».</w:t>
      </w:r>
      <w:r>
        <w:rPr>
          <w:i/>
          <w:sz w:val="28"/>
          <w:szCs w:val="28"/>
        </w:rPr>
      </w:r>
      <w:r>
        <w:rPr>
          <w:i/>
          <w:sz w:val="28"/>
          <w:szCs w:val="28"/>
        </w:rPr>
      </w:r>
    </w:p>
    <w:p>
      <w:pPr>
        <w:pStyle w:val="835"/>
        <w:ind w:firstLine="851"/>
        <w:jc w:val="both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Для того чтобы подать заявку на портале</w:t>
      </w:r>
      <w:r>
        <w:rPr>
          <w:sz w:val="28"/>
          <w:szCs w:val="28"/>
        </w:rPr>
        <w:t xml:space="preserve"> ЕПГУ</w:t>
      </w:r>
      <w:r>
        <w:rPr>
          <w:sz w:val="28"/>
          <w:szCs w:val="28"/>
        </w:rPr>
        <w:t xml:space="preserve">, пользователю достаточно выбрать услугу в своём личном кабинете в подразделе «Популярные услуги» раздела «Стройка-Недвижимость». С помощью ЕПГУ можно получить докуме</w:t>
      </w:r>
      <w:r>
        <w:rPr>
          <w:sz w:val="28"/>
          <w:szCs w:val="28"/>
        </w:rPr>
        <w:t xml:space="preserve">нтацию, включающую в себя землеустроительные и межевые дела, материалы инвентаризации (межевания объектов землеустройства) и государственного мониторинга земель, карты-планы объектов землеустройства (границы муниципальных образований, населенных пунктов), </w:t>
      </w:r>
      <w:r>
        <w:rPr>
          <w:sz w:val="28"/>
          <w:szCs w:val="28"/>
        </w:rPr>
        <w:t xml:space="preserve">ортофотопланы</w:t>
      </w:r>
      <w:r>
        <w:rPr>
          <w:sz w:val="28"/>
          <w:szCs w:val="28"/>
        </w:rPr>
        <w:t xml:space="preserve">, проекты внутрихозяйственного землеустройства и рекультивации нарушенных земель, материалы почвенных, геоботанических других обследований и изысканий, а также оценки качества земель.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ind w:firstLine="851"/>
        <w:jc w:val="both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Как отмечают специалисты </w:t>
      </w:r>
      <w:r>
        <w:rPr>
          <w:sz w:val="28"/>
          <w:szCs w:val="28"/>
        </w:rPr>
        <w:t xml:space="preserve">Управления Росреестра по Алтайскому краю</w:t>
      </w:r>
      <w:r>
        <w:rPr>
          <w:sz w:val="28"/>
          <w:szCs w:val="28"/>
        </w:rPr>
        <w:t xml:space="preserve">, услуга по выдаче сведений из ГФДЗ востребована различными категориями граждан – от организаций, индивидуальных предпринимателей, кадастровых инженеров до самих правообладателей земельных участков. Это вполне объяснимо: материалы из </w:t>
      </w:r>
      <w:r>
        <w:rPr>
          <w:sz w:val="28"/>
          <w:szCs w:val="28"/>
        </w:rPr>
        <w:t xml:space="preserve">ГФДЗ</w:t>
      </w:r>
      <w:r>
        <w:rPr>
          <w:sz w:val="28"/>
          <w:szCs w:val="28"/>
        </w:rPr>
        <w:t xml:space="preserve"> содержат ценную исходную информацию об объектах недвижимости и позволяют при возможных земельных спорах подтвердить факт существования участков в установленных границах на момент их предоставления и формирования.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ind w:firstLine="851"/>
        <w:jc w:val="both"/>
        <w:spacing w:before="0" w:beforeAutospacing="0" w:after="0" w:afterAutospacing="0"/>
        <w:shd w:val="clear" w:color="auto" w:fill="ffffff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Кроме того, полученные из ГФДЗ данные п</w:t>
      </w:r>
      <w:r>
        <w:rPr>
          <w:sz w:val="28"/>
          <w:szCs w:val="28"/>
        </w:rPr>
        <w:t xml:space="preserve">рименяются для подготовки документов градостроительного зонирования, схем расположения земельных участков на кадастровых планах территорий, межевых планов, а также для определения местоположения границ участков при проведении комплексных кадастровых работ.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35"/>
        <w:ind w:firstLine="0"/>
        <w:jc w:val="both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ind w:firstLine="0"/>
        <w:jc w:val="both"/>
        <w:spacing w:before="0" w:beforeAutospacing="0" w:after="0" w:afterAutospacing="0"/>
        <w:shd w:val="clear" w:color="auto" w:fill="ffff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35"/>
        <w:ind w:firstLine="0"/>
        <w:jc w:val="both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720" w:right="720" w:bottom="720" w:left="720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ndale Sans UI">
    <w:panose1 w:val="020206030504050203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cs="Times New Roman" w:eastAsiaTheme="minorHAnsi"/>
        <w:sz w:val="28"/>
        <w:szCs w:val="28"/>
        <w:lang w:val="ru-RU" w:eastAsia="en-US" w:bidi="ar-SA"/>
      </w:rPr>
    </w:rPrDefault>
    <w:pPrDefault>
      <w:pPr>
        <w:ind w:left="0" w:right="0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1"/>
    <w:next w:val="831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1"/>
    <w:next w:val="831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1"/>
    <w:next w:val="831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1"/>
    <w:next w:val="831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1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1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1"/>
    <w:next w:val="8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>
    <w:name w:val="Normal (Web)"/>
    <w:basedOn w:val="831"/>
    <w:uiPriority w:val="99"/>
    <w:unhideWhenUsed/>
    <w:pPr>
      <w:ind w:firstLine="0"/>
      <w:jc w:val="left"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836">
    <w:name w:val="Hyperlink"/>
    <w:basedOn w:val="832"/>
    <w:uiPriority w:val="99"/>
    <w:semiHidden/>
    <w:unhideWhenUsed/>
    <w:rPr>
      <w:color w:val="0000ff"/>
      <w:u w:val="single"/>
    </w:rPr>
  </w:style>
  <w:style w:type="paragraph" w:styleId="837" w:customStyle="1">
    <w:name w:val="Standard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Andale Sans UI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zh-CN" w:bidi="hi-IN"/>
      <w14:ligatures w14:val="none"/>
    </w:rPr>
  </w:style>
  <w:style w:type="character" w:styleId="838" w:customStyle="1">
    <w:name w:val="Интернет-ссылка"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Гергет Евгений Викторович</dc:creator>
  <cp:keywords/>
  <dc:description/>
  <cp:revision>9</cp:revision>
  <dcterms:created xsi:type="dcterms:W3CDTF">2024-08-08T01:09:00Z</dcterms:created>
  <dcterms:modified xsi:type="dcterms:W3CDTF">2026-04-20T01:41:50Z</dcterms:modified>
</cp:coreProperties>
</file>