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22A95" w14:textId="77777777" w:rsidR="0074511A" w:rsidRDefault="0074511A">
      <w:pPr>
        <w:spacing w:line="276" w:lineRule="auto"/>
        <w:divId w:val="1537622445"/>
      </w:pPr>
    </w:p>
    <w:tbl>
      <w:tblPr>
        <w:tblW w:w="5000" w:type="pct"/>
        <w:tblCellSpacing w:w="0" w:type="dxa"/>
        <w:tblCellMar>
          <w:left w:w="0" w:type="dxa"/>
          <w:right w:w="0" w:type="dxa"/>
        </w:tblCellMar>
        <w:tblLook w:val="04A0" w:firstRow="1" w:lastRow="0" w:firstColumn="1" w:lastColumn="0" w:noHBand="0" w:noVBand="1"/>
      </w:tblPr>
      <w:tblGrid>
        <w:gridCol w:w="9638"/>
      </w:tblGrid>
      <w:tr w:rsidR="0074511A" w14:paraId="4E4B34E6" w14:textId="77777777">
        <w:trPr>
          <w:divId w:val="1537622445"/>
          <w:tblCellSpacing w:w="0" w:type="dxa"/>
        </w:trPr>
        <w:tc>
          <w:tcPr>
            <w:tcW w:w="0" w:type="auto"/>
            <w:vAlign w:val="center"/>
            <w:hideMark/>
          </w:tcPr>
          <w:p w14:paraId="2D987EF4" w14:textId="77777777" w:rsidR="0074511A" w:rsidRPr="00512FE0" w:rsidRDefault="0074511A">
            <w:pPr>
              <w:spacing w:line="276" w:lineRule="auto"/>
              <w:jc w:val="center"/>
              <w:rPr>
                <w:b/>
                <w:bCs/>
                <w:sz w:val="26"/>
                <w:szCs w:val="26"/>
              </w:rPr>
            </w:pPr>
            <w:r w:rsidRPr="00512FE0">
              <w:rPr>
                <w:b/>
                <w:bCs/>
                <w:sz w:val="26"/>
                <w:szCs w:val="26"/>
              </w:rPr>
              <w:t>Информация о социально-экономическом развитии</w:t>
            </w:r>
          </w:p>
        </w:tc>
      </w:tr>
      <w:tr w:rsidR="0074511A" w14:paraId="4EA7D3FF" w14:textId="77777777">
        <w:trPr>
          <w:divId w:val="1537622445"/>
          <w:tblCellSpacing w:w="0" w:type="dxa"/>
        </w:trPr>
        <w:tc>
          <w:tcPr>
            <w:tcW w:w="0" w:type="auto"/>
            <w:tcBorders>
              <w:bottom w:val="single" w:sz="8" w:space="0" w:color="000000"/>
            </w:tcBorders>
            <w:vAlign w:val="center"/>
            <w:hideMark/>
          </w:tcPr>
          <w:p w14:paraId="363948BA" w14:textId="11B963CD" w:rsidR="0074511A" w:rsidRPr="00512FE0" w:rsidRDefault="001F1010">
            <w:pPr>
              <w:spacing w:line="276" w:lineRule="auto"/>
              <w:jc w:val="center"/>
              <w:rPr>
                <w:sz w:val="26"/>
                <w:szCs w:val="26"/>
              </w:rPr>
            </w:pPr>
            <w:r w:rsidRPr="00512FE0">
              <w:rPr>
                <w:b/>
                <w:bCs/>
                <w:sz w:val="26"/>
                <w:szCs w:val="26"/>
              </w:rPr>
              <w:t>Топчихинского района</w:t>
            </w:r>
            <w:r w:rsidR="000D3D3D" w:rsidRPr="00512FE0">
              <w:rPr>
                <w:b/>
                <w:bCs/>
                <w:sz w:val="26"/>
                <w:szCs w:val="26"/>
                <w:lang w:val="en-US"/>
              </w:rPr>
              <w:t xml:space="preserve"> </w:t>
            </w:r>
            <w:r w:rsidR="0074511A" w:rsidRPr="00512FE0">
              <w:rPr>
                <w:b/>
                <w:bCs/>
                <w:sz w:val="26"/>
                <w:szCs w:val="26"/>
              </w:rPr>
              <w:t xml:space="preserve">в </w:t>
            </w:r>
            <w:r w:rsidRPr="00512FE0">
              <w:rPr>
                <w:b/>
                <w:bCs/>
                <w:sz w:val="26"/>
                <w:szCs w:val="26"/>
                <w:lang w:val="en-US"/>
              </w:rPr>
              <w:t>2025</w:t>
            </w:r>
            <w:r w:rsidR="0074511A" w:rsidRPr="00512FE0">
              <w:rPr>
                <w:b/>
                <w:bCs/>
                <w:sz w:val="26"/>
                <w:szCs w:val="26"/>
              </w:rPr>
              <w:t xml:space="preserve"> году.</w:t>
            </w:r>
          </w:p>
        </w:tc>
      </w:tr>
      <w:tr w:rsidR="0074511A" w14:paraId="282A02E3" w14:textId="77777777">
        <w:trPr>
          <w:divId w:val="1537622445"/>
          <w:tblCellSpacing w:w="0" w:type="dxa"/>
        </w:trPr>
        <w:tc>
          <w:tcPr>
            <w:tcW w:w="0" w:type="auto"/>
            <w:vAlign w:val="center"/>
            <w:hideMark/>
          </w:tcPr>
          <w:p w14:paraId="177CC1F8" w14:textId="20A9D911" w:rsidR="0074511A" w:rsidRDefault="0074511A">
            <w:pPr>
              <w:pStyle w:val="1"/>
              <w:spacing w:line="276" w:lineRule="auto"/>
              <w:jc w:val="center"/>
              <w:rPr>
                <w:sz w:val="22"/>
                <w:szCs w:val="22"/>
              </w:rPr>
            </w:pPr>
          </w:p>
        </w:tc>
      </w:tr>
    </w:tbl>
    <w:p w14:paraId="7A3DFD5E" w14:textId="0E64B35B" w:rsidR="0074511A" w:rsidRPr="00FE0D0E" w:rsidRDefault="0074511A" w:rsidP="00512FE0">
      <w:pPr>
        <w:spacing w:after="240" w:line="276" w:lineRule="auto"/>
        <w:jc w:val="center"/>
        <w:divId w:val="223301121"/>
      </w:pPr>
      <w:r>
        <w:br/>
      </w:r>
      <w:r w:rsidRPr="00FE0D0E">
        <w:rPr>
          <w:rStyle w:val="a3"/>
        </w:rPr>
        <w:t>Промышленное производство</w:t>
      </w:r>
    </w:p>
    <w:p w14:paraId="3601CC7E" w14:textId="77777777" w:rsidR="00FE0D0E" w:rsidRPr="00FE0D0E" w:rsidRDefault="001F1010" w:rsidP="00FE0D0E">
      <w:pPr>
        <w:ind w:firstLine="709"/>
        <w:jc w:val="both"/>
        <w:divId w:val="223301121"/>
      </w:pPr>
      <w:r w:rsidRPr="00FE0D0E">
        <w:t>Объём отгруженных товаров собственного производства, выполненных работ и услуг собственными силами промышленных предприятий района в стоимостном выражении составил 2,3 млрд. руб., что ниже уровня прошлого года на 16,6 %. Индекс промышленного производства составил 83,4 %.</w:t>
      </w:r>
    </w:p>
    <w:p w14:paraId="1EC2806C" w14:textId="77777777" w:rsidR="00FE0D0E" w:rsidRPr="00FE0D0E" w:rsidRDefault="001F1010" w:rsidP="00FE0D0E">
      <w:pPr>
        <w:ind w:firstLine="709"/>
        <w:jc w:val="both"/>
        <w:divId w:val="223301121"/>
      </w:pPr>
      <w:r w:rsidRPr="00FE0D0E">
        <w:t>Предприятиями увеличены объёмы производства мяса и субпродуктов (на 42 %), кондитерских изделий (на 15,4 %), кормов растительных (на 27,3 %), лесоматериалов лиственных пород (в 2,3 раза). Снижено производство муки и крупы (на 32,4 %), хлебобулочных изделий (на 7,8 %), колбасных изделий (на 5,7 %), концентратов и смесей кормовых (на 30,6 %), товарного бетона (на 2,6 %), смесей асфальтобетонных (на 16,3%), древесины топливной (на 17,3 %), лесоматериалов хвойных пород (на 6,2%).</w:t>
      </w:r>
    </w:p>
    <w:p w14:paraId="5FF3636C" w14:textId="77777777" w:rsidR="00FE0D0E" w:rsidRPr="00FE0D0E" w:rsidRDefault="001F1010" w:rsidP="00FE0D0E">
      <w:pPr>
        <w:ind w:firstLine="709"/>
        <w:jc w:val="both"/>
        <w:divId w:val="223301121"/>
      </w:pPr>
      <w:r w:rsidRPr="00FE0D0E">
        <w:t>Стабильно работает ООО «ПО «Топчихинский мелькомбинат» (производство муки, крупы), ООО «ГИК» (производство крупы), ООО «Содружество» (деревообрабатывающее производство), ООО «Мясная линия Топчихинских хозяйств» (производство мяса и колбасных изделий), ООО "Консул-Алтай" (производство хлебобулочных изделий).</w:t>
      </w:r>
    </w:p>
    <w:p w14:paraId="7967FFEC" w14:textId="1B1DC3F6" w:rsidR="0074511A" w:rsidRPr="00FE0D0E" w:rsidRDefault="001F1010" w:rsidP="00FE0D0E">
      <w:pPr>
        <w:ind w:firstLine="709"/>
        <w:jc w:val="both"/>
        <w:divId w:val="223301121"/>
      </w:pPr>
      <w:r w:rsidRPr="00FE0D0E">
        <w:t>Важнейшей задачей в промышленном производстве района остается расширение номенклатуры и повышение качества производимой продукции, а также создание условий для привлечения в район инвестиций для создания новых предприятий и производств.</w:t>
      </w:r>
    </w:p>
    <w:p w14:paraId="25D208A8" w14:textId="77777777" w:rsidR="0074511A" w:rsidRPr="00512FE0" w:rsidRDefault="0074511A" w:rsidP="008E0719">
      <w:pPr>
        <w:spacing w:before="240" w:after="240" w:line="276" w:lineRule="auto"/>
        <w:jc w:val="center"/>
        <w:divId w:val="1450320109"/>
      </w:pPr>
      <w:r w:rsidRPr="00512FE0">
        <w:rPr>
          <w:rStyle w:val="a3"/>
        </w:rPr>
        <w:t xml:space="preserve">Сельскохозяйственное производство </w:t>
      </w:r>
    </w:p>
    <w:p w14:paraId="19885E2A" w14:textId="77777777" w:rsidR="00FE0D0E" w:rsidRDefault="00954C8F" w:rsidP="00FE0D0E">
      <w:pPr>
        <w:ind w:firstLine="851"/>
        <w:jc w:val="both"/>
        <w:divId w:val="1450320109"/>
      </w:pPr>
      <w:r w:rsidRPr="008E0719">
        <w:t>Аграрии района традиционно на высоком уровне провели посевную и уборочную кампании, обеспечили животноводство необходимым запасом кормов.</w:t>
      </w:r>
    </w:p>
    <w:p w14:paraId="6C2CF8E5" w14:textId="77777777" w:rsidR="00FE0D0E" w:rsidRDefault="00954C8F" w:rsidP="00FE0D0E">
      <w:pPr>
        <w:ind w:firstLine="851"/>
        <w:jc w:val="both"/>
        <w:divId w:val="1450320109"/>
      </w:pPr>
      <w:r w:rsidRPr="008E0719">
        <w:t>Благодаря стабильному техническому перевооружению, применению современных агротехнологий, качественных и сортовых семян, удобрений растениеводы увеличили среднерайонную урожайность зерновых и зернобобовых культур в весе после доработки с 25,1 до 31,0 ц/га, что позволило увеличить урожай на 20,5 тыс. т по сравнению с уровнем прошлого года. Урожайность подсолнечника составила 21,5 ц/га (на уровне прошлого года), увеличилась на 30 % урожайность льна и рапса.</w:t>
      </w:r>
    </w:p>
    <w:p w14:paraId="4DAE6F50" w14:textId="77777777" w:rsidR="00FE0D0E" w:rsidRDefault="00954C8F" w:rsidP="00FE0D0E">
      <w:pPr>
        <w:ind w:firstLine="851"/>
        <w:jc w:val="both"/>
        <w:divId w:val="1450320109"/>
      </w:pPr>
      <w:r w:rsidRPr="008E0719">
        <w:t>Сокращено валовое производство молока на 4,4% - 26,5 тыс. т, мяса на 2,9% - 4,0 тыс. т.</w:t>
      </w:r>
    </w:p>
    <w:p w14:paraId="7D4F37AA" w14:textId="77777777" w:rsidR="00FE0D0E" w:rsidRDefault="00954C8F" w:rsidP="00FE0D0E">
      <w:pPr>
        <w:ind w:firstLine="851"/>
        <w:jc w:val="both"/>
        <w:divId w:val="1450320109"/>
      </w:pPr>
      <w:r w:rsidRPr="008E0719">
        <w:t>Продуктивность в сельхозпредприятиях района составила 6299 кг на одну фуражную корову, что выше уровня прошлого года на 4,2%. По продуктивности коров лидирует АО «Племенной репродуктор «Чистюньский» (8220 кг) при среднерайонном показателе 6268 кг на одну фуражную корову. Наблюдается отрицательная динамика развития фермерских хозяйств. Валовое производство молока в них составило 1,9 тыс. т (снижение на 6,5 %), мяса - 59 т (снижение на 22,7%). Кооператив «Восход» снизил на 10,3 % закуп молока у КФХ и населения, за год закуплено и переработано 2,4 тыс. т молока.</w:t>
      </w:r>
    </w:p>
    <w:p w14:paraId="11DDA70B" w14:textId="77777777" w:rsidR="00FE0D0E" w:rsidRDefault="00954C8F" w:rsidP="00FE0D0E">
      <w:pPr>
        <w:ind w:firstLine="851"/>
        <w:jc w:val="both"/>
        <w:divId w:val="1450320109"/>
      </w:pPr>
      <w:r w:rsidRPr="008E0719">
        <w:t>Сельхозпредприятия района закончили год с чистой прибылью 572 млн. руб. Уровень рентабельности составил 24 %. Индекс физического объема продукции сельского хозяйства во всех категориях хозяйств составил 112,5%. В связи с падением цен на сельскохозяйственную продукцию увеличилась кредиторская задолженность поставщикам и подрядчикам на 12 %.</w:t>
      </w:r>
    </w:p>
    <w:p w14:paraId="22835E71" w14:textId="77777777" w:rsidR="00FE0D0E" w:rsidRDefault="00954C8F" w:rsidP="00FE0D0E">
      <w:pPr>
        <w:ind w:firstLine="851"/>
        <w:jc w:val="both"/>
        <w:divId w:val="1450320109"/>
      </w:pPr>
      <w:proofErr w:type="spellStart"/>
      <w:r w:rsidRPr="008E0719">
        <w:t>Сельхозтоваропроизводителям</w:t>
      </w:r>
      <w:proofErr w:type="spellEnd"/>
      <w:r w:rsidRPr="008E0719">
        <w:t xml:space="preserve"> района предоставлена государственная поддержка в размере 45,3 млн. руб., в том числе КФХ - 4,8 млн. руб.</w:t>
      </w:r>
    </w:p>
    <w:p w14:paraId="53D2D3CA" w14:textId="1CCDE97F" w:rsidR="0074511A" w:rsidRPr="008E0719" w:rsidRDefault="00954C8F" w:rsidP="00FE0D0E">
      <w:pPr>
        <w:ind w:firstLine="851"/>
        <w:jc w:val="both"/>
        <w:divId w:val="1450320109"/>
      </w:pPr>
      <w:r w:rsidRPr="008E0719">
        <w:lastRenderedPageBreak/>
        <w:t>По данным статистики среднемесячная заработная плата работников сельскохозяйственных предприятий увеличилась с 49898 руб. в 2024 году до 62286 руб. в 2025 году. </w:t>
      </w:r>
    </w:p>
    <w:p w14:paraId="5A13D8F4" w14:textId="4A316692" w:rsidR="0074511A" w:rsidRPr="00512FE0" w:rsidRDefault="0074511A" w:rsidP="00512FE0">
      <w:pPr>
        <w:spacing w:before="240" w:after="240" w:line="276" w:lineRule="auto"/>
        <w:jc w:val="center"/>
        <w:divId w:val="1006633197"/>
      </w:pPr>
      <w:r w:rsidRPr="00512FE0">
        <w:rPr>
          <w:rStyle w:val="a3"/>
        </w:rPr>
        <w:t>Реализация инвестиционных проектов на территории</w:t>
      </w:r>
      <w:r w:rsidR="00610981" w:rsidRPr="00512FE0">
        <w:rPr>
          <w:rStyle w:val="a3"/>
        </w:rPr>
        <w:t xml:space="preserve"> </w:t>
      </w:r>
      <w:r w:rsidRPr="00512FE0">
        <w:rPr>
          <w:rStyle w:val="a3"/>
        </w:rPr>
        <w:t xml:space="preserve">муниципального района </w:t>
      </w:r>
    </w:p>
    <w:p w14:paraId="427DD509" w14:textId="77777777" w:rsidR="00610981" w:rsidRDefault="00954C8F" w:rsidP="00610981">
      <w:pPr>
        <w:ind w:firstLine="709"/>
        <w:jc w:val="both"/>
        <w:divId w:val="1006633197"/>
      </w:pPr>
      <w:r w:rsidRPr="00954C8F">
        <w:t>Объем инвестиций в экономику района за счет всех источников финансирования по крупным и средним организациям за 2025 год составил 735,2 млн. руб., что на 58 % больше показателя прошлого года (в сопоставимых ценах - 141,6 %). В общем объеме инвестиций 8,2 % составляют инвестиции за счет бюджетом всех уровней (60,6 млн. руб.)</w:t>
      </w:r>
    </w:p>
    <w:p w14:paraId="0DADFABE" w14:textId="77777777" w:rsidR="00610981" w:rsidRDefault="00954C8F" w:rsidP="00610981">
      <w:pPr>
        <w:ind w:firstLine="709"/>
        <w:jc w:val="both"/>
        <w:divId w:val="1006633197"/>
      </w:pPr>
      <w:r w:rsidRPr="00954C8F">
        <w:t>Субъектами малого предпринимательства привлечено инвестиций в размере 222,1 млн. рублей. В числе внебюджетных инвестиционных проектов, реализуемых в 2025 году: строительство автомобильной мойки в с. Топчиха ул. Ленина; строительство соединительного пути между путями №13 и №16 железнодорожного пути необщего пользования ООО «ПО «Топчихинский мелькомбинат» на станции Топчиха Западно-Сибирской железной дороги-филиала ОАО «РЖД»; строительство цеха по производству растительного масла ООО «Энергия зерна» в с. Топчиха, ул. Правды; приобретение сельскохозяйственной техники, машин, оборудования крестьянскими (фермерскими) хозяйствами и сельскохозяйственными предприятиями района.</w:t>
      </w:r>
    </w:p>
    <w:p w14:paraId="26C73E41" w14:textId="77777777" w:rsidR="00610981" w:rsidRDefault="00954C8F" w:rsidP="00610981">
      <w:pPr>
        <w:ind w:firstLine="709"/>
        <w:jc w:val="both"/>
        <w:divId w:val="1006633197"/>
      </w:pPr>
      <w:r w:rsidRPr="00954C8F">
        <w:t>За счет бюджетных средств в 2025 году в рамках реализации мероприятий государственной программы Алтайского края «Создание условий для устойчивого исполнения бюджетов муниципальных образований и повышения эффективности бюджетных расходов в Алтайском крае» (проекты поддержки местных инициатив) 7 сельских поселения реализовали свои инициативы на сумму 13,0 млн. руб., из них 3,3 млн. руб. из муниципального бюджета, 774 тыс. руб. внесли граждане, 532 тыс. руб. - юридические лица. Построены спортплощадка в п. Кировский, детские площадки в</w:t>
      </w:r>
      <w:r w:rsidR="00610981">
        <w:t xml:space="preserve">                          </w:t>
      </w:r>
      <w:r w:rsidRPr="00954C8F">
        <w:t xml:space="preserve"> с. Топчиха, п. Победим, п. Комсомольский, отремонтирована дорога в с. Чистюнька, благоустроены кладбища в п. Топольный, с. Песчаное.</w:t>
      </w:r>
    </w:p>
    <w:p w14:paraId="5BC24865" w14:textId="77777777" w:rsidR="00610981" w:rsidRDefault="00954C8F" w:rsidP="00610981">
      <w:pPr>
        <w:ind w:firstLine="709"/>
        <w:jc w:val="both"/>
        <w:divId w:val="1006633197"/>
      </w:pPr>
      <w:r w:rsidRPr="00954C8F">
        <w:t xml:space="preserve">В рамках государственной программы Алтайского края «Формирование комфортной городской среды» в 2025 году благоустроена центральная площадь в </w:t>
      </w:r>
      <w:r w:rsidR="00610981">
        <w:t xml:space="preserve">                             </w:t>
      </w:r>
      <w:r w:rsidRPr="00954C8F">
        <w:t>с. Чистюнька, освоено 3,1 млн. руб.</w:t>
      </w:r>
    </w:p>
    <w:p w14:paraId="13F91CA8" w14:textId="77777777" w:rsidR="00610981" w:rsidRDefault="00954C8F" w:rsidP="00610981">
      <w:pPr>
        <w:ind w:firstLine="709"/>
        <w:jc w:val="both"/>
        <w:divId w:val="1006633197"/>
      </w:pPr>
      <w:r w:rsidRPr="00954C8F">
        <w:t>В 2025 году начат новый 4-летний период участия Топчихинского сельсовета в федеральном проекте «Формирование комфортной городской среды» нового национального проекта «Инфраструктура для жизни», в текущем году обновлена пешеходная зона по ул. Ленина.</w:t>
      </w:r>
    </w:p>
    <w:p w14:paraId="1A9C8B79" w14:textId="77777777" w:rsidR="00610981" w:rsidRDefault="00954C8F" w:rsidP="00610981">
      <w:pPr>
        <w:ind w:firstLine="709"/>
        <w:jc w:val="both"/>
        <w:divId w:val="1006633197"/>
      </w:pPr>
      <w:r w:rsidRPr="00954C8F">
        <w:t>Продолж</w:t>
      </w:r>
      <w:r w:rsidR="00610981">
        <w:t>ено</w:t>
      </w:r>
      <w:r w:rsidRPr="00954C8F">
        <w:t xml:space="preserve"> строительство нового объекта «Газовая котельная по ул. Партизанская в с. Топчиха», реализацию проекта планируется завершить в 2026 году.</w:t>
      </w:r>
      <w:r w:rsidR="00610981">
        <w:t xml:space="preserve"> </w:t>
      </w:r>
      <w:r w:rsidRPr="00954C8F">
        <w:t xml:space="preserve">Проведены проектно-изыскательские работы по строительству моста через    р. Большая Река в </w:t>
      </w:r>
      <w:r w:rsidR="00610981">
        <w:t xml:space="preserve">                        </w:t>
      </w:r>
      <w:r w:rsidRPr="00954C8F">
        <w:t>с. Чаузово Топчихинского района, на 2026 год запланировано его строительство стоимостью 94,4 млн. руб.</w:t>
      </w:r>
    </w:p>
    <w:p w14:paraId="6B70C026" w14:textId="77777777" w:rsidR="00610981" w:rsidRDefault="00954C8F" w:rsidP="00610981">
      <w:pPr>
        <w:ind w:firstLine="709"/>
        <w:jc w:val="both"/>
        <w:divId w:val="1006633197"/>
      </w:pPr>
      <w:r w:rsidRPr="00954C8F">
        <w:t xml:space="preserve">Выполнено строительство </w:t>
      </w:r>
      <w:proofErr w:type="spellStart"/>
      <w:r w:rsidRPr="00954C8F">
        <w:t>ФАПа</w:t>
      </w:r>
      <w:proofErr w:type="spellEnd"/>
      <w:r w:rsidRPr="00954C8F">
        <w:t xml:space="preserve"> КГБУЗ «</w:t>
      </w:r>
      <w:proofErr w:type="spellStart"/>
      <w:r w:rsidRPr="00954C8F">
        <w:t>Топчихинская</w:t>
      </w:r>
      <w:proofErr w:type="spellEnd"/>
      <w:r w:rsidRPr="00954C8F">
        <w:t xml:space="preserve"> ЦРБ» в </w:t>
      </w:r>
      <w:r w:rsidR="00610981">
        <w:t xml:space="preserve">                                                     </w:t>
      </w:r>
      <w:r w:rsidRPr="00954C8F">
        <w:t xml:space="preserve">с. </w:t>
      </w:r>
      <w:proofErr w:type="spellStart"/>
      <w:r w:rsidRPr="00954C8F">
        <w:t>Переясловка</w:t>
      </w:r>
      <w:proofErr w:type="spellEnd"/>
      <w:r w:rsidRPr="00954C8F">
        <w:t>.</w:t>
      </w:r>
    </w:p>
    <w:p w14:paraId="5AFDAD4B" w14:textId="74DD5E1F" w:rsidR="0074511A" w:rsidRPr="008E0719" w:rsidRDefault="00954C8F" w:rsidP="00610981">
      <w:pPr>
        <w:ind w:firstLine="709"/>
        <w:jc w:val="both"/>
        <w:divId w:val="1006633197"/>
      </w:pPr>
      <w:r w:rsidRPr="00954C8F">
        <w:t>Работа Администрации района в области инвестиционной политики направлена на дальнейшее укрепление инвестиционно - привлекательного имиджа района. С целью улучшения инвестиционного и предпринимательского климата территории внедрен новый муниципальный инвестиционный стандарт 2.0, разработан и ежегодно актуализируется инвестиционный профиль района, принято Положение о муниципально-частном партнерстве в муниципальном образовании Топчихинский район.   </w:t>
      </w:r>
    </w:p>
    <w:p w14:paraId="2EED8096" w14:textId="77777777" w:rsidR="00512FE0" w:rsidRDefault="00512FE0" w:rsidP="008E0719">
      <w:pPr>
        <w:spacing w:before="240" w:after="240" w:line="276" w:lineRule="auto"/>
        <w:jc w:val="center"/>
        <w:divId w:val="672149918"/>
        <w:rPr>
          <w:rStyle w:val="a3"/>
        </w:rPr>
      </w:pPr>
    </w:p>
    <w:p w14:paraId="50EDF568" w14:textId="6B36C341" w:rsidR="0074511A" w:rsidRPr="00512FE0" w:rsidRDefault="0074511A" w:rsidP="008E0719">
      <w:pPr>
        <w:spacing w:before="240" w:after="240" w:line="276" w:lineRule="auto"/>
        <w:jc w:val="center"/>
        <w:divId w:val="672149918"/>
      </w:pPr>
      <w:r w:rsidRPr="00512FE0">
        <w:rPr>
          <w:rStyle w:val="a3"/>
        </w:rPr>
        <w:lastRenderedPageBreak/>
        <w:t xml:space="preserve">Состояние малого и среднего предпринимательства, меры государственной поддержки малого и среднего предпринимательства </w:t>
      </w:r>
    </w:p>
    <w:p w14:paraId="5AF36FE5" w14:textId="77777777" w:rsidR="001876BE" w:rsidRDefault="001F1010" w:rsidP="001876BE">
      <w:pPr>
        <w:ind w:firstLine="709"/>
        <w:jc w:val="both"/>
        <w:divId w:val="672149918"/>
      </w:pPr>
      <w:r w:rsidRPr="001F1010">
        <w:t xml:space="preserve">Наблюдается положительная динамика в сфере развития малого и среднего предпринимательства в части увеличения числа субъектов бизнеса и </w:t>
      </w:r>
      <w:proofErr w:type="spellStart"/>
      <w:r w:rsidRPr="001F1010">
        <w:t>самозанятых</w:t>
      </w:r>
      <w:proofErr w:type="spellEnd"/>
      <w:r w:rsidRPr="001F1010">
        <w:t>.</w:t>
      </w:r>
    </w:p>
    <w:p w14:paraId="783A7AD7" w14:textId="77777777" w:rsidR="001876BE" w:rsidRDefault="001F1010" w:rsidP="001876BE">
      <w:pPr>
        <w:ind w:firstLine="709"/>
        <w:jc w:val="both"/>
        <w:divId w:val="672149918"/>
      </w:pPr>
      <w:r w:rsidRPr="001F1010">
        <w:t>По данным единого реестра субъектов МСП на территории района зарегистрированы 446 субъектов предпринимательства (2024 год - 432) из них 393 индивидуальных предпринимателя (2024 год - 376), 51 малое и 2 средних предприятия.</w:t>
      </w:r>
    </w:p>
    <w:p w14:paraId="20962D53" w14:textId="77777777" w:rsidR="001876BE" w:rsidRDefault="001F1010" w:rsidP="001876BE">
      <w:pPr>
        <w:ind w:firstLine="709"/>
        <w:jc w:val="both"/>
        <w:divId w:val="672149918"/>
      </w:pPr>
      <w:r w:rsidRPr="001F1010">
        <w:t>В течение года предпринимательскую деятельность зарегистрировали 118 новых хозяйствующих субъектов, что характеризует стабильную предпринимательскую и экономическую активность населения. В расчете на 10 тысяч человек приходится 249,6 субъектов предпринимательства (в 2024 году - 239,9).</w:t>
      </w:r>
    </w:p>
    <w:p w14:paraId="3EDA0796" w14:textId="77777777" w:rsidR="001876BE" w:rsidRDefault="001F1010" w:rsidP="001876BE">
      <w:pPr>
        <w:ind w:firstLine="709"/>
        <w:jc w:val="both"/>
        <w:divId w:val="672149918"/>
      </w:pPr>
      <w:r w:rsidRPr="001F1010">
        <w:t>На финансирование мероприятий муниципальной программы «Развитие малого и среднего предпринимательства в Топчихинском районе» из районного бюджета израсходовано 845,3 тыс. руб.</w:t>
      </w:r>
    </w:p>
    <w:p w14:paraId="16E2D398" w14:textId="77777777" w:rsidR="001876BE" w:rsidRDefault="001F1010" w:rsidP="001876BE">
      <w:pPr>
        <w:ind w:firstLine="709"/>
        <w:jc w:val="both"/>
        <w:divId w:val="672149918"/>
      </w:pPr>
      <w:r w:rsidRPr="001F1010">
        <w:t>За 2025 год ИКЦ предпринимателям и гражданам района предоставлено 240 информационно-консультационных услуг, в том числе двум предпринимателям оказана помощь в получении статуса социального предприятия. Информационно-консультационный центр поддержки предпринимательства проводит консультирование, проверку и согласование бизнес-планов, в рамках оказания государственной социальной помощи на основании социального контракта.  За 2025 год на организацию предпринимательской деятельности заключено 23 социальных контракта, на развитие личного подсобного хозяйства -14.</w:t>
      </w:r>
    </w:p>
    <w:p w14:paraId="2ED7AA63" w14:textId="3BF73CC3" w:rsidR="0074511A" w:rsidRPr="001F1010" w:rsidRDefault="001F1010" w:rsidP="001876BE">
      <w:pPr>
        <w:ind w:firstLine="709"/>
        <w:jc w:val="both"/>
        <w:divId w:val="672149918"/>
      </w:pPr>
      <w:r w:rsidRPr="001F1010">
        <w:t>В 2025 году 10 субъектов МСП Топчихинского района воспользовались финансовыми мерами государственной поддержки на общую сумму 23,9 млн. руб., 5 субъектов образовательной поддержкой, 24 информационной и консультационной поддержкой.</w:t>
      </w:r>
    </w:p>
    <w:p w14:paraId="22B05A6E" w14:textId="77777777" w:rsidR="0074511A" w:rsidRPr="00512FE0" w:rsidRDefault="0074511A" w:rsidP="008E0719">
      <w:pPr>
        <w:spacing w:before="240" w:after="240" w:line="276" w:lineRule="auto"/>
        <w:jc w:val="center"/>
        <w:divId w:val="1356543834"/>
      </w:pPr>
      <w:r w:rsidRPr="00512FE0">
        <w:rPr>
          <w:rStyle w:val="a3"/>
        </w:rPr>
        <w:t xml:space="preserve">Ситуация на рынке труда </w:t>
      </w:r>
    </w:p>
    <w:p w14:paraId="33ABA45E" w14:textId="77777777" w:rsidR="00BB31AC" w:rsidRDefault="00954C8F" w:rsidP="00BB31AC">
      <w:pPr>
        <w:ind w:firstLine="709"/>
        <w:jc w:val="both"/>
        <w:divId w:val="1356543834"/>
      </w:pPr>
      <w:r w:rsidRPr="008E0719">
        <w:t>Ситуация на рынке труда в целом сохраняет свою стабильность. Ввод новых и модернизированных постоянных рабочих мест в 2025 году составил 107 ед. Среднемесячная начисленная заработная плата работников крупных и средних организаций составила 58724 руб., выше уровня прошлого года на 19,4 %. Случаев просроченной задолженности по заработной плате не допускалось.</w:t>
      </w:r>
    </w:p>
    <w:p w14:paraId="32F148D2" w14:textId="77777777" w:rsidR="00BB31AC" w:rsidRDefault="00954C8F" w:rsidP="00BB31AC">
      <w:pPr>
        <w:ind w:firstLine="709"/>
        <w:jc w:val="both"/>
        <w:divId w:val="1356543834"/>
      </w:pPr>
      <w:r w:rsidRPr="008E0719">
        <w:t>Рабочей группой по вопросам снижения неформальной занятости за год в коммерческих структурах выявлены 13 работников с которыми не заключены трудовые договоры и 31 хозяйствующий субъект, осуществляющий свою деятельность без государственной регистрации, из них 100 % легализовали свои трудовые отношения и 100 % оформили свою деятельность.</w:t>
      </w:r>
    </w:p>
    <w:p w14:paraId="4FB74B50" w14:textId="77777777" w:rsidR="00BB31AC" w:rsidRDefault="00954C8F" w:rsidP="00BB31AC">
      <w:pPr>
        <w:ind w:firstLine="709"/>
        <w:jc w:val="both"/>
        <w:divId w:val="1356543834"/>
      </w:pPr>
      <w:r w:rsidRPr="008E0719">
        <w:t>Затраты на финансирование условий и охраны труда по району составили 13150 руб. на одного работника. Два работодателя района имеют статус «Социально ориентированный».</w:t>
      </w:r>
    </w:p>
    <w:p w14:paraId="5F43EFBA" w14:textId="2E42B21A" w:rsidR="0074511A" w:rsidRPr="008E0719" w:rsidRDefault="00954C8F" w:rsidP="00BB31AC">
      <w:pPr>
        <w:ind w:firstLine="709"/>
        <w:jc w:val="both"/>
        <w:divId w:val="1356543834"/>
      </w:pPr>
      <w:r w:rsidRPr="008E0719">
        <w:t>По состоянию на 01.01.2026 года уровень безработицы составляет 1,9 %, напряженность на рынке труда составила 1,9 чел./место (в 2024 г - 0,5 чел./место). За содействием в поиске работы в службу занятости обратилось 325 человек из них трудоустроены 188.</w:t>
      </w:r>
    </w:p>
    <w:p w14:paraId="4C50A55C" w14:textId="1E15AFFA" w:rsidR="0074511A" w:rsidRPr="00512FE0" w:rsidRDefault="0074511A" w:rsidP="008E0719">
      <w:pPr>
        <w:spacing w:before="240" w:after="240" w:line="276" w:lineRule="auto"/>
        <w:jc w:val="center"/>
        <w:divId w:val="1611469857"/>
      </w:pPr>
      <w:r w:rsidRPr="00512FE0">
        <w:rPr>
          <w:rStyle w:val="a3"/>
        </w:rPr>
        <w:t xml:space="preserve">Уровень жизни населения </w:t>
      </w:r>
    </w:p>
    <w:p w14:paraId="4B2DB4DE" w14:textId="77777777" w:rsidR="00A82C22" w:rsidRDefault="001F1010" w:rsidP="004F2360">
      <w:pPr>
        <w:ind w:firstLine="709"/>
        <w:jc w:val="both"/>
        <w:divId w:val="1611469857"/>
      </w:pPr>
      <w:r w:rsidRPr="001F1010">
        <w:t xml:space="preserve">Одним из индикаторов, характеризующих уровень жизни населения, является заработная плата. В 2025 году она составила по крупным и средним предприятиям 58724 </w:t>
      </w:r>
      <w:r w:rsidRPr="001F1010">
        <w:lastRenderedPageBreak/>
        <w:t>руб., что выше уровня 2024 года на 19,4 %.  Увеличение среднемесячной заработной платы достигнуто в результате работы по повышению уровня заработной платы с использованием механизмов социального партнёрства, организации контроля за выполнением региональных (отраслевых), территориальных (отраслевых) соглашений, осуществления комплексной оценки ситуации в сфере труда и занятости населения.</w:t>
      </w:r>
    </w:p>
    <w:p w14:paraId="79AB0DE7" w14:textId="434F1036" w:rsidR="0074511A" w:rsidRPr="001F1010" w:rsidRDefault="001F1010" w:rsidP="004F2360">
      <w:pPr>
        <w:ind w:firstLine="709"/>
        <w:jc w:val="both"/>
        <w:divId w:val="1611469857"/>
      </w:pPr>
      <w:r w:rsidRPr="001F1010">
        <w:t>По оценке среднемесячные доходы на душу населения в 2025 году составили 31025 руб., что выше уровня 2024 года на 12 %. Рост денежных доходов произошел за счет увеличения социальных выплат, поступлений из финансовой системы, доходов от предпринимательской деятельности, поступлений от продажи продукции сельского хозяйства. Наблюдается рост фонда заработной платы за счет увеличения заработной платы. К 2027 году ожидается рост среднемесячных доходов населения до 35000 руб. в основном за счет увеличения размера социальных выплат, фонда оплаты труда.</w:t>
      </w:r>
    </w:p>
    <w:p w14:paraId="3241552C" w14:textId="77777777" w:rsidR="0074511A" w:rsidRPr="00512FE0" w:rsidRDefault="0074511A" w:rsidP="008E0719">
      <w:pPr>
        <w:spacing w:before="240" w:after="240" w:line="276" w:lineRule="auto"/>
        <w:jc w:val="center"/>
        <w:divId w:val="1437944105"/>
      </w:pPr>
      <w:r w:rsidRPr="00512FE0">
        <w:rPr>
          <w:rStyle w:val="a3"/>
        </w:rPr>
        <w:t xml:space="preserve">Состояние местных бюджетов </w:t>
      </w:r>
    </w:p>
    <w:p w14:paraId="14998585" w14:textId="77777777" w:rsidR="00A82C22" w:rsidRDefault="00954C8F" w:rsidP="00A82C22">
      <w:pPr>
        <w:ind w:firstLine="709"/>
        <w:jc w:val="both"/>
        <w:divId w:val="1437944105"/>
      </w:pPr>
      <w:r w:rsidRPr="008E0719">
        <w:t>В 2025 году в консолидированный бюджет района поступило доходов в сумме 1060 млн. руб., что на 100 млн. рублей больше чем в 2024 году, из них 36% составили собственные доходы (384 млн. руб.). Основными источниками собственных доходов являются НДФЛ, налоги на совокупный доход, земельный налог, доходы от аренды земли и доходы от оказания платных услуг и компенсации затрат государства.</w:t>
      </w:r>
    </w:p>
    <w:p w14:paraId="761A422F" w14:textId="77777777" w:rsidR="00A82C22" w:rsidRDefault="00954C8F" w:rsidP="00A82C22">
      <w:pPr>
        <w:ind w:firstLine="709"/>
        <w:jc w:val="both"/>
        <w:divId w:val="1437944105"/>
      </w:pPr>
      <w:r w:rsidRPr="008E0719">
        <w:t>Собственные доходы сложились из налоговых поступлений – 325 млн. руб. (85%) и неналоговых поступлений – 59 млн. руб. (15%).</w:t>
      </w:r>
    </w:p>
    <w:p w14:paraId="14A794C1" w14:textId="77777777" w:rsidR="00A82C22" w:rsidRDefault="00954C8F" w:rsidP="00A82C22">
      <w:pPr>
        <w:ind w:firstLine="709"/>
        <w:jc w:val="both"/>
        <w:divId w:val="1437944105"/>
      </w:pPr>
      <w:r w:rsidRPr="008E0719">
        <w:t xml:space="preserve">По состоянию на 01.01.2026 недоимка по доходам, подлежащим к поступлению в консолидированный бюджет района, составила 13,6 млн. руб., в том числе: налоговые доходы </w:t>
      </w:r>
      <w:r w:rsidR="00A82C22">
        <w:t>-</w:t>
      </w:r>
      <w:r w:rsidRPr="008E0719">
        <w:t xml:space="preserve"> 10 млн. руб., 74% (НДФЛ </w:t>
      </w:r>
      <w:r w:rsidR="00A82C22">
        <w:t>-</w:t>
      </w:r>
      <w:r w:rsidRPr="008E0719">
        <w:t xml:space="preserve"> 1,2 млн. руб., налоги по спец. </w:t>
      </w:r>
      <w:r w:rsidR="00A82C22" w:rsidRPr="008E0719">
        <w:t>Р</w:t>
      </w:r>
      <w:r w:rsidRPr="008E0719">
        <w:t>ежимам</w:t>
      </w:r>
      <w:r w:rsidR="00A82C22">
        <w:t xml:space="preserve"> -</w:t>
      </w:r>
      <w:r w:rsidRPr="008E0719">
        <w:t xml:space="preserve">– 2,2 млн. руб., земельный налог </w:t>
      </w:r>
      <w:r w:rsidR="00A82C22">
        <w:t>-</w:t>
      </w:r>
      <w:r w:rsidRPr="008E0719">
        <w:t xml:space="preserve"> 4,5 млн. руб., налог на имущество физических лиц </w:t>
      </w:r>
      <w:r w:rsidR="00A82C22">
        <w:t>-</w:t>
      </w:r>
      <w:r w:rsidRPr="008E0719">
        <w:t xml:space="preserve"> 2,1 млн. руб.); неналоговые доходы </w:t>
      </w:r>
      <w:r w:rsidR="00A82C22">
        <w:t>-</w:t>
      </w:r>
      <w:r w:rsidRPr="008E0719">
        <w:t xml:space="preserve"> 3,6 млн. руб., 26% (арендная плата за землю).</w:t>
      </w:r>
    </w:p>
    <w:p w14:paraId="7F9A5DDF" w14:textId="77777777" w:rsidR="00A82C22" w:rsidRDefault="00954C8F" w:rsidP="00A82C22">
      <w:pPr>
        <w:ind w:firstLine="709"/>
        <w:jc w:val="both"/>
        <w:divId w:val="1437944105"/>
      </w:pPr>
      <w:r w:rsidRPr="008E0719">
        <w:t>Поступления в бюджет района из федерального и краевого бюджетов составили 675 млн. руб. или 64 % в объеме доходов, что на 51 млн. руб. больше уровня 2024 года.</w:t>
      </w:r>
    </w:p>
    <w:p w14:paraId="7E132ACF" w14:textId="77777777" w:rsidR="00A82C22" w:rsidRDefault="00954C8F" w:rsidP="00A82C22">
      <w:pPr>
        <w:ind w:firstLine="709"/>
        <w:jc w:val="both"/>
        <w:divId w:val="1437944105"/>
      </w:pPr>
      <w:r w:rsidRPr="008E0719">
        <w:t>Расходы бюджета 2025 года составили 1098 млн. руб., что на 140 млн. руб. больше уровня 2024 года. Направлено на реализацию целевых программ 941 млн. руб., что составляет 86% от общей суммы расходов.</w:t>
      </w:r>
    </w:p>
    <w:p w14:paraId="731D18AD" w14:textId="77777777" w:rsidR="00A82C22" w:rsidRDefault="00954C8F" w:rsidP="00A82C22">
      <w:pPr>
        <w:ind w:firstLine="709"/>
        <w:jc w:val="both"/>
        <w:divId w:val="1437944105"/>
      </w:pPr>
      <w:r w:rsidRPr="008E0719">
        <w:t>В структуре исполнения бюджета по отраслям сохраняется его социальная направленность. Так удельный вес расходов на финансирование деятельности муниципальных учреждений социальной сферы составляет 68 %, в т. ч. 60 % направлено на образование (659 млн. руб.), 6% на культуру (68 млн. руб.), 2% составили расходы на физкультуру и спорт (19 млн. руб.), 2% на социальную политику (пенсионное обеспечение, выплаты опекунским семьям, жилье участникам программ - 18 млн. руб.). На решение общегосударственных вопросов направлено 141 млн. руб. (13%), расходы в области ЖКХ, благоустройства населенных пунктов составили 132 млн. руб. (12%).</w:t>
      </w:r>
    </w:p>
    <w:p w14:paraId="79CCF326" w14:textId="77777777" w:rsidR="00A82C22" w:rsidRDefault="00954C8F" w:rsidP="00A82C22">
      <w:pPr>
        <w:ind w:firstLine="709"/>
        <w:jc w:val="both"/>
        <w:divId w:val="1437944105"/>
      </w:pPr>
      <w:r w:rsidRPr="008E0719">
        <w:t>По состоянию на 01.01.2026 муниципальный долг отсутствует, бюджетные кредиты не привлекались, не допущена задолженность по выплате заработной платы работникам бюджетной сферы, по расчетам за электроэнергию, тепло, воду.</w:t>
      </w:r>
    </w:p>
    <w:p w14:paraId="3EF699FC" w14:textId="77777777" w:rsidR="00A82C22" w:rsidRDefault="00954C8F" w:rsidP="00A82C22">
      <w:pPr>
        <w:ind w:firstLine="709"/>
        <w:jc w:val="both"/>
        <w:divId w:val="1437944105"/>
      </w:pPr>
      <w:r w:rsidRPr="008E0719">
        <w:t>В 2025 году была продолжена работа по повышению эффективности расходования бюджетных средств, оптимизации и сокращению объема неэффективных расходов, обеспечению сбалансированности и устойчивости районного бюджета и бюджетов поселений.</w:t>
      </w:r>
    </w:p>
    <w:p w14:paraId="3AABBB86" w14:textId="77777777" w:rsidR="00A82C22" w:rsidRDefault="00954C8F" w:rsidP="00A82C22">
      <w:pPr>
        <w:ind w:firstLine="709"/>
        <w:jc w:val="both"/>
        <w:divId w:val="1437944105"/>
      </w:pPr>
      <w:r w:rsidRPr="008E0719">
        <w:t>Для увеличения доходного потенциала необходимо создание благоприятных условий для дальнейшего роста экономики и привлечения инвестиций.</w:t>
      </w:r>
    </w:p>
    <w:p w14:paraId="7070F5ED" w14:textId="59916A66" w:rsidR="0074511A" w:rsidRPr="008E0719" w:rsidRDefault="00954C8F" w:rsidP="00A82C22">
      <w:pPr>
        <w:ind w:firstLine="709"/>
        <w:jc w:val="both"/>
        <w:divId w:val="1437944105"/>
      </w:pPr>
      <w:r w:rsidRPr="008E0719">
        <w:t>Политика в области расходов направлена на решение задач социально-экономического развития района и повышения качества жизни населения, последовательного роста оплаты труда.</w:t>
      </w:r>
    </w:p>
    <w:p w14:paraId="38976BD3" w14:textId="77777777" w:rsidR="0074511A" w:rsidRPr="00512FE0" w:rsidRDefault="0074511A" w:rsidP="008E0719">
      <w:pPr>
        <w:spacing w:before="240" w:after="240" w:line="276" w:lineRule="auto"/>
        <w:jc w:val="center"/>
        <w:divId w:val="1904366202"/>
      </w:pPr>
      <w:r w:rsidRPr="00512FE0">
        <w:rPr>
          <w:rStyle w:val="a3"/>
        </w:rPr>
        <w:lastRenderedPageBreak/>
        <w:t xml:space="preserve">Жилищно-коммунальное хозяйство </w:t>
      </w:r>
    </w:p>
    <w:p w14:paraId="29EDE468" w14:textId="77777777" w:rsidR="00A82C22" w:rsidRDefault="001F1010" w:rsidP="00A82C22">
      <w:pPr>
        <w:ind w:firstLine="709"/>
        <w:jc w:val="both"/>
        <w:divId w:val="1904366202"/>
      </w:pPr>
      <w:r w:rsidRPr="00FE0D0E">
        <w:t>Предприятия энергетики, жилищно-коммунального хозяйства района стабильно поставляют коммунальные услуги для обеспечения жизнедеятельности населения района, в плановом режиме организуют техническое обследование инженерных сетей, своевременно проводят капитальные и текущие ремонты, оперативно реагируют на аварийные ситуации.</w:t>
      </w:r>
      <w:r>
        <w:rPr>
          <w:lang w:val="en-US"/>
        </w:rPr>
        <w:t> </w:t>
      </w:r>
      <w:r w:rsidRPr="00FE0D0E">
        <w:t>В 2025 году с участием средств федерального бюджета выполнен капитальный ремонт участка тепловой сети протяженностью 0,608 км в с. Топчиха пер. Мельничный, ул. Октябрьская.</w:t>
      </w:r>
    </w:p>
    <w:p w14:paraId="42A720AF" w14:textId="77777777" w:rsidR="00A82C22" w:rsidRDefault="001F1010" w:rsidP="00A82C22">
      <w:pPr>
        <w:ind w:firstLine="709"/>
        <w:jc w:val="both"/>
        <w:divId w:val="1904366202"/>
      </w:pPr>
      <w:r w:rsidRPr="00FE0D0E">
        <w:t xml:space="preserve">Продолжена планомерная работа по совершенствованию систем отопления в социальных объектах. Выполнены частичные ремонты в 10 образовательных организациях, 2 сельских администрациях. Заменены 3 отопительных котла (Ключевская и </w:t>
      </w:r>
      <w:proofErr w:type="spellStart"/>
      <w:r w:rsidRPr="00FE0D0E">
        <w:t>Сидоровская</w:t>
      </w:r>
      <w:proofErr w:type="spellEnd"/>
      <w:r w:rsidRPr="00FE0D0E">
        <w:t xml:space="preserve"> школы), отремонтированы две дымоходные трубы (</w:t>
      </w:r>
      <w:proofErr w:type="spellStart"/>
      <w:r w:rsidRPr="00FE0D0E">
        <w:t>Зиминская</w:t>
      </w:r>
      <w:proofErr w:type="spellEnd"/>
      <w:r w:rsidRPr="00FE0D0E">
        <w:t xml:space="preserve"> школа и Кировский клуб). Проведен капитальный ремонт системы отопления здания детского сада «Рыбка» - филиала МКДОУ детский сад «Березка» с. Фунтики, расположенного по адресу: Алтайский край, Топчихинский район, с. </w:t>
      </w:r>
      <w:proofErr w:type="spellStart"/>
      <w:r w:rsidRPr="00FE0D0E">
        <w:t>Хабазино</w:t>
      </w:r>
      <w:proofErr w:type="spellEnd"/>
      <w:r w:rsidRPr="00FE0D0E">
        <w:t xml:space="preserve">, ул. Гагарина, 2, а также замена теплотрассы. Заменены кровли с дополнительным утеплением перекрытий в </w:t>
      </w:r>
      <w:proofErr w:type="spellStart"/>
      <w:r w:rsidRPr="00FE0D0E">
        <w:t>Песчановской</w:t>
      </w:r>
      <w:proofErr w:type="spellEnd"/>
      <w:r w:rsidRPr="00FE0D0E">
        <w:t xml:space="preserve"> школе и Кировском клубе. В Кировском клубе дополнительно проведен частичный ремонт наружной отделки фасада.</w:t>
      </w:r>
    </w:p>
    <w:p w14:paraId="12C8EBC7" w14:textId="77777777" w:rsidR="00A82C22" w:rsidRDefault="001F1010" w:rsidP="00A82C22">
      <w:pPr>
        <w:ind w:firstLine="709"/>
        <w:jc w:val="both"/>
        <w:divId w:val="1904366202"/>
      </w:pPr>
      <w:r w:rsidRPr="00FE0D0E">
        <w:t>В 2025 году в рамках мероприятий краевой адресной программы выполнен капитальный ремонт здания детского сада на ул. Яблочная с. Топчиха с благоустройством прилегающей территории и частичный ремонт фасада с утеплением.</w:t>
      </w:r>
    </w:p>
    <w:p w14:paraId="6A8FF989" w14:textId="77777777" w:rsidR="00A82C22" w:rsidRDefault="001F1010" w:rsidP="00A82C22">
      <w:pPr>
        <w:ind w:firstLine="709"/>
        <w:jc w:val="both"/>
        <w:divId w:val="1904366202"/>
      </w:pPr>
      <w:r w:rsidRPr="00FE0D0E">
        <w:t xml:space="preserve">На 2026 год в программу капитального ремонта школ «Модернизация школьных систем образования» в рамках государственной программы «Развитие образования» включены </w:t>
      </w:r>
      <w:proofErr w:type="spellStart"/>
      <w:r w:rsidRPr="00FE0D0E">
        <w:t>Переясловская</w:t>
      </w:r>
      <w:proofErr w:type="spellEnd"/>
      <w:r w:rsidRPr="00FE0D0E">
        <w:t xml:space="preserve"> и </w:t>
      </w:r>
      <w:proofErr w:type="spellStart"/>
      <w:r w:rsidRPr="00FE0D0E">
        <w:t>Победимская</w:t>
      </w:r>
      <w:proofErr w:type="spellEnd"/>
      <w:r w:rsidRPr="00FE0D0E">
        <w:t xml:space="preserve"> школы, а также капитальный ремонт Чистюньского детского сада. Контракты заключены, работы ведутся.</w:t>
      </w:r>
    </w:p>
    <w:p w14:paraId="7D5DDCDD" w14:textId="77777777" w:rsidR="00A82C22" w:rsidRDefault="001F1010" w:rsidP="00A82C22">
      <w:pPr>
        <w:ind w:firstLine="709"/>
        <w:jc w:val="both"/>
        <w:divId w:val="1904366202"/>
      </w:pPr>
      <w:r w:rsidRPr="00FE0D0E">
        <w:t xml:space="preserve">В 2025 году продолжено строительство газовой котельной по ул. Партизанская в </w:t>
      </w:r>
      <w:r w:rsidR="00A82C22">
        <w:t xml:space="preserve">                 </w:t>
      </w:r>
      <w:r w:rsidRPr="00FE0D0E">
        <w:t>с. Топчиха. Стоимость выполненных работ составила 7,6 млн. руб., из них 6,86 млн. руб. из краевого бюджета.</w:t>
      </w:r>
    </w:p>
    <w:p w14:paraId="77233093" w14:textId="77777777" w:rsidR="00A82C22" w:rsidRDefault="001F1010" w:rsidP="00A82C22">
      <w:pPr>
        <w:ind w:firstLine="709"/>
        <w:jc w:val="both"/>
        <w:divId w:val="1904366202"/>
      </w:pPr>
      <w:r w:rsidRPr="00FE0D0E">
        <w:t>Проблема изношенности водопроводных сетей и качества питьевой воды остается актуальной для района.</w:t>
      </w:r>
      <w:r>
        <w:rPr>
          <w:lang w:val="en-US"/>
        </w:rPr>
        <w:t> </w:t>
      </w:r>
      <w:r w:rsidRPr="00FE0D0E">
        <w:t>В целях реализации мероприятий муниципальной программы «Обеспечение населения Топчихинского района жилищно-коммунальными услугами» из районного бюджета выделено 36,05 млн. руб.</w:t>
      </w:r>
    </w:p>
    <w:p w14:paraId="40E9A772" w14:textId="77777777" w:rsidR="00A82C22" w:rsidRDefault="001F1010" w:rsidP="00A82C22">
      <w:pPr>
        <w:ind w:firstLine="709"/>
        <w:jc w:val="both"/>
        <w:divId w:val="1904366202"/>
      </w:pPr>
      <w:r w:rsidRPr="00FE0D0E">
        <w:t xml:space="preserve">В 2025 году в рамках мероприятий государственной программы «Обеспечение населения Алтайского края жилищно-коммунальными услугами» выполнен капитальный ремонт водозаборных скважин с установкой новых водонапорных башен в с. Топчиха ул. Комарова и с. Сидоровка. </w:t>
      </w:r>
      <w:r>
        <w:rPr>
          <w:lang w:val="en-US"/>
        </w:rPr>
        <w:t> </w:t>
      </w:r>
      <w:r w:rsidRPr="00FE0D0E">
        <w:t xml:space="preserve">Заменены водонапорные башни в с. </w:t>
      </w:r>
      <w:proofErr w:type="spellStart"/>
      <w:r w:rsidRPr="00FE0D0E">
        <w:t>Макарьевка</w:t>
      </w:r>
      <w:proofErr w:type="spellEnd"/>
      <w:r w:rsidRPr="00FE0D0E">
        <w:t xml:space="preserve"> и п. Ключи.</w:t>
      </w:r>
    </w:p>
    <w:p w14:paraId="2E400C5A" w14:textId="77777777" w:rsidR="00A82C22" w:rsidRDefault="001F1010" w:rsidP="00A82C22">
      <w:pPr>
        <w:ind w:firstLine="709"/>
        <w:jc w:val="both"/>
        <w:divId w:val="1904366202"/>
      </w:pPr>
      <w:r w:rsidRPr="00FE0D0E">
        <w:t xml:space="preserve">В 2025 году подготовлены документы по капитальному ремонту узлов водоснабжения в с. </w:t>
      </w:r>
      <w:proofErr w:type="spellStart"/>
      <w:r w:rsidRPr="00FE0D0E">
        <w:t>Переясловка</w:t>
      </w:r>
      <w:proofErr w:type="spellEnd"/>
      <w:r w:rsidRPr="00FE0D0E">
        <w:t>, с. Топчиха ул. Северная, с. Чистюнька, ул. Новая, 52а. Заявки направлены в Минстрой Алтайского края.</w:t>
      </w:r>
    </w:p>
    <w:p w14:paraId="5CDEFABD" w14:textId="77777777" w:rsidR="00A82C22" w:rsidRDefault="001F1010" w:rsidP="00A82C22">
      <w:pPr>
        <w:ind w:firstLine="709"/>
        <w:jc w:val="both"/>
        <w:divId w:val="1904366202"/>
      </w:pPr>
      <w:r w:rsidRPr="00FE0D0E">
        <w:t>В с. Парфёново выполнен завершающий этап реконструкции водопроводных сетей и сооружений. Новый водопровод полностью запущен в эксплуатацию.</w:t>
      </w:r>
      <w:r>
        <w:rPr>
          <w:lang w:val="en-US"/>
        </w:rPr>
        <w:t> </w:t>
      </w:r>
      <w:r w:rsidRPr="00FE0D0E">
        <w:t>В 2025 году за счет средств районного бюджета выполнена полная замена водопроводов по ул. Ворошиловская и Привокзальная в с. Топчиха.</w:t>
      </w:r>
    </w:p>
    <w:p w14:paraId="0B9A45EC" w14:textId="77777777" w:rsidR="00A82C22" w:rsidRDefault="001F1010" w:rsidP="00A82C22">
      <w:pPr>
        <w:ind w:firstLine="709"/>
        <w:jc w:val="both"/>
        <w:divId w:val="1904366202"/>
      </w:pPr>
      <w:r w:rsidRPr="00FE0D0E">
        <w:t>Заявки на включение проектов по реконструкции водопроводных сетей и сооружений в с. Топчиха и в с. Чистюнька в региональную программу модернизации коммунальной инфраструктуры находятся на рассмотрении в Минстрое Алтайского края.</w:t>
      </w:r>
    </w:p>
    <w:p w14:paraId="399FF3CC" w14:textId="77777777" w:rsidR="00A82C22" w:rsidRPr="00ED35EA" w:rsidRDefault="001F1010" w:rsidP="00A82C22">
      <w:pPr>
        <w:ind w:firstLine="709"/>
        <w:jc w:val="both"/>
        <w:divId w:val="1904366202"/>
      </w:pPr>
      <w:r w:rsidRPr="00FE0D0E">
        <w:t xml:space="preserve">Объекты водоснабжения </w:t>
      </w:r>
      <w:proofErr w:type="spellStart"/>
      <w:r w:rsidRPr="00FE0D0E">
        <w:t>Победимского</w:t>
      </w:r>
      <w:proofErr w:type="spellEnd"/>
      <w:r w:rsidRPr="00FE0D0E">
        <w:t xml:space="preserve"> сельсовета, которые обслуживал </w:t>
      </w:r>
      <w:proofErr w:type="spellStart"/>
      <w:r w:rsidRPr="00FE0D0E">
        <w:t>Племрепродуктор</w:t>
      </w:r>
      <w:proofErr w:type="spellEnd"/>
      <w:r w:rsidRPr="00FE0D0E">
        <w:t xml:space="preserve"> «</w:t>
      </w:r>
      <w:proofErr w:type="spellStart"/>
      <w:r w:rsidRPr="00FE0D0E">
        <w:t>Чистюньский</w:t>
      </w:r>
      <w:proofErr w:type="spellEnd"/>
      <w:r w:rsidRPr="00FE0D0E">
        <w:t>», приняты в муниципальную собственность и переданы на обслуживание ООО «РСУ», ведутся работы по заключению концессионного соглашения.</w:t>
      </w:r>
      <w:r>
        <w:rPr>
          <w:lang w:val="en-US"/>
        </w:rPr>
        <w:t> </w:t>
      </w:r>
    </w:p>
    <w:p w14:paraId="1872AC5A" w14:textId="77777777" w:rsidR="00A82C22" w:rsidRDefault="001F1010" w:rsidP="00A82C22">
      <w:pPr>
        <w:ind w:firstLine="709"/>
        <w:jc w:val="both"/>
        <w:divId w:val="1904366202"/>
      </w:pPr>
      <w:r w:rsidRPr="00FE0D0E">
        <w:lastRenderedPageBreak/>
        <w:t>По итогам 2025 года предприятиями ЖКХ района оказано услуг на общую сумму 140,8 млн. руб. По отрасли в целом получен убыток 1,2 млн. руб. Одно из трех предприятий ЖКХ получило прибыль по итогам года. Уровень собираемости платежей населения за жилищно-коммунальные услуги составил 96 %.</w:t>
      </w:r>
    </w:p>
    <w:p w14:paraId="6E298566" w14:textId="77777777" w:rsidR="00A82C22" w:rsidRDefault="001F1010" w:rsidP="00A82C22">
      <w:pPr>
        <w:ind w:firstLine="709"/>
        <w:jc w:val="both"/>
        <w:divId w:val="1904366202"/>
      </w:pPr>
      <w:r w:rsidRPr="00FE0D0E">
        <w:t>В период подготовки объектов жилищно-коммунального комплекса района к работе в осенне-зимний период 2025-2026 годов выполнены все необходимые мероприятия к безаварийному проведению отопительного периода.</w:t>
      </w:r>
    </w:p>
    <w:p w14:paraId="2B92BFE2" w14:textId="77777777" w:rsidR="00A82C22" w:rsidRDefault="001F1010" w:rsidP="00A82C22">
      <w:pPr>
        <w:ind w:firstLine="709"/>
        <w:jc w:val="both"/>
        <w:divId w:val="1904366202"/>
      </w:pPr>
      <w:r w:rsidRPr="00FE0D0E">
        <w:t xml:space="preserve">Общая площадь введенного жилья за год составила 1391 </w:t>
      </w:r>
      <w:r w:rsidR="00A82C22">
        <w:t>м</w:t>
      </w:r>
      <w:r w:rsidR="00A82C22">
        <w:rPr>
          <w:vertAlign w:val="superscript"/>
        </w:rPr>
        <w:t>2</w:t>
      </w:r>
      <w:r w:rsidRPr="00FE0D0E">
        <w:t>. Район продолжает участвовать в различных программах по улучшению жилищных условий граждан. За год 3 семьи улучшили жилищные условия, являясь участниками государственных программ Алтайского края.</w:t>
      </w:r>
    </w:p>
    <w:p w14:paraId="22274C61" w14:textId="19389AAE" w:rsidR="0074511A" w:rsidRPr="00FE0D0E" w:rsidRDefault="001F1010" w:rsidP="00A82C22">
      <w:pPr>
        <w:ind w:firstLine="709"/>
        <w:jc w:val="both"/>
        <w:divId w:val="1904366202"/>
      </w:pPr>
      <w:r w:rsidRPr="00FE0D0E">
        <w:t>Продолжается капитальный ремонт общего имущества многоквартирных домов, за 2025 проведены ремонты двух домов в Топчихе. На 2026 год запланирован капитальный ремонт ещё 3 домов.</w:t>
      </w:r>
      <w:r>
        <w:rPr>
          <w:lang w:val="en-US"/>
        </w:rPr>
        <w:t>  </w:t>
      </w:r>
    </w:p>
    <w:p w14:paraId="58A9E30E" w14:textId="77777777" w:rsidR="0074511A" w:rsidRPr="00512FE0" w:rsidRDefault="0074511A" w:rsidP="008E0719">
      <w:pPr>
        <w:spacing w:before="240" w:after="240" w:line="276" w:lineRule="auto"/>
        <w:jc w:val="center"/>
        <w:divId w:val="1972859180"/>
      </w:pPr>
      <w:r w:rsidRPr="00512FE0">
        <w:rPr>
          <w:rStyle w:val="a3"/>
        </w:rPr>
        <w:t xml:space="preserve">Социальная сфера </w:t>
      </w:r>
    </w:p>
    <w:p w14:paraId="4384D661" w14:textId="77777777" w:rsidR="00A82C22" w:rsidRDefault="001F1010" w:rsidP="00A82C22">
      <w:pPr>
        <w:ind w:firstLine="709"/>
        <w:jc w:val="both"/>
        <w:divId w:val="1972859180"/>
      </w:pPr>
      <w:r w:rsidRPr="00FE0D0E">
        <w:t>Организацией предоставления общедоступного и бесплатного образования занимаются 14 образовательных организаций, из них 9 школ (юридических лиц), имеющих 12 филиалов, 2 детских сада (юридических лиц), имеющих 3 филиала, 3 учреждения дополнительного образования (ДЮЦ, ДЮСШ, ДШИ). 86 % школ являются малокомплектными. В школах обучается 2387 учеников, что на 128 школьников меньше уровня 2024 года. Количество обучающихся по специальным (коррекционным) программам -255, ниже уровня 2024 на 23 ребенка.</w:t>
      </w:r>
    </w:p>
    <w:p w14:paraId="25FFD2AB" w14:textId="77777777" w:rsidR="00A82C22" w:rsidRDefault="001F1010" w:rsidP="00A82C22">
      <w:pPr>
        <w:ind w:firstLine="709"/>
        <w:jc w:val="both"/>
        <w:divId w:val="1972859180"/>
      </w:pPr>
      <w:r w:rsidRPr="00FE0D0E">
        <w:t>Организован подвоз 167 учеников из 14 населенных пунктов по 11 школьным маршрутам на 9 автобусах.</w:t>
      </w:r>
    </w:p>
    <w:p w14:paraId="3FA3F064" w14:textId="77777777" w:rsidR="00A82C22" w:rsidRDefault="001F1010" w:rsidP="00A82C22">
      <w:pPr>
        <w:ind w:firstLine="709"/>
        <w:jc w:val="both"/>
        <w:divId w:val="1972859180"/>
      </w:pPr>
      <w:r w:rsidRPr="00FE0D0E">
        <w:t>Питанием охвачено 85 % обучающихся. Обеспечено горячее питание льготных категорий обучающихся за счет всех видов бюджетов: федерального - 12,8 млн. руб., краевого - 7,2 млн. руб., районного - 1,7 млн. руб.</w:t>
      </w:r>
    </w:p>
    <w:p w14:paraId="19BA0FB3" w14:textId="77777777" w:rsidR="00A82C22" w:rsidRDefault="001F1010" w:rsidP="00A82C22">
      <w:pPr>
        <w:ind w:firstLine="709"/>
        <w:jc w:val="both"/>
        <w:divId w:val="1972859180"/>
      </w:pPr>
      <w:r w:rsidRPr="00FE0D0E">
        <w:t>Летним отдыхом охвачено 100 % школьников. В загородных лагерях отдохнули 90 детей, в 7-ми пришкольных лагерях с дневным пребыванием - 270, из них 100 детей за счет муниципального бюджета. В 14 школах работали дворовые площадки, трудоустроено 69 обучающихся. Всего на летний отдых, оздоровление и трудоустройство из районного бюджета направлено 748,2 тыс. руб., что выше уровня 2024 г на 58,3 %.</w:t>
      </w:r>
      <w:r>
        <w:rPr>
          <w:lang w:val="en-US"/>
        </w:rPr>
        <w:t>  </w:t>
      </w:r>
      <w:r w:rsidRPr="00FE0D0E">
        <w:t>Новогодние подарки за счет муниципального бюджета получили школьники из малообеспеченных семей с 5 по 6 класс, а также семей участников СВО, всего 508 ребят. За счет краевого бюджета все школьники начальных классов обеспечены губернаторскими подарками.</w:t>
      </w:r>
    </w:p>
    <w:p w14:paraId="7DBEB388" w14:textId="086559F4" w:rsidR="00A82C22" w:rsidRDefault="001F1010" w:rsidP="00ED35EA">
      <w:pPr>
        <w:ind w:firstLine="709"/>
        <w:jc w:val="both"/>
        <w:divId w:val="1972859180"/>
      </w:pPr>
      <w:r w:rsidRPr="00FE0D0E">
        <w:t xml:space="preserve">Продолжается оснащение образовательных организаций района компьютерным, учебным, спортивным, технологическим оборудованием. </w:t>
      </w:r>
      <w:r>
        <w:rPr>
          <w:lang w:val="en-US"/>
        </w:rPr>
        <w:t> </w:t>
      </w:r>
      <w:r w:rsidRPr="00FE0D0E">
        <w:t>Министерство образования и науки Алтайского края поступило оборудования для кабинетов ОБЗР, технологическое</w:t>
      </w:r>
      <w:r w:rsidR="00ED35EA">
        <w:t xml:space="preserve"> </w:t>
      </w:r>
      <w:r w:rsidRPr="00FE0D0E">
        <w:t xml:space="preserve">в 6 школ, оборудование для кабинетов труда в 5 школ, учебники истории для 5,6,7 классов получили все школы, из муниципального бюджета направлены денежные средства на выполнение предписаний </w:t>
      </w:r>
      <w:proofErr w:type="spellStart"/>
      <w:r w:rsidRPr="00FE0D0E">
        <w:t>Роспотребнадзора</w:t>
      </w:r>
      <w:proofErr w:type="spellEnd"/>
      <w:r w:rsidRPr="00FE0D0E">
        <w:t xml:space="preserve"> и оснащение кабинетов ОБЗР. На эти цели из краевого бюджета направлено 2,9 млн. руб</w:t>
      </w:r>
      <w:r w:rsidR="00ED35EA">
        <w:t>.</w:t>
      </w:r>
      <w:r w:rsidRPr="00FE0D0E">
        <w:t>, из районного бюджета - 1,5 млн. руб.</w:t>
      </w:r>
    </w:p>
    <w:p w14:paraId="52779205" w14:textId="77777777" w:rsidR="00A82C22" w:rsidRDefault="001F1010" w:rsidP="00A82C22">
      <w:pPr>
        <w:ind w:firstLine="709"/>
        <w:jc w:val="both"/>
        <w:divId w:val="1972859180"/>
      </w:pPr>
      <w:r w:rsidRPr="00FE0D0E">
        <w:t>Численность кадров системы общего образования относительно стабильна: 2387 чел., в том числе 229 педагогических работников, из них 40 молодых педагогов. Оказана муниципальная поддержка в общем размере 158,0 тыс. руб. 2 молодым специалистам и 4 студентам целевого обучения.</w:t>
      </w:r>
    </w:p>
    <w:p w14:paraId="20C32F23" w14:textId="77777777" w:rsidR="00A82C22" w:rsidRDefault="001F1010" w:rsidP="00A82C22">
      <w:pPr>
        <w:ind w:firstLine="709"/>
        <w:jc w:val="both"/>
        <w:divId w:val="1972859180"/>
      </w:pPr>
      <w:r w:rsidRPr="00FE0D0E">
        <w:t>Дошкольное образование района характеризуется 100 % обеспеченностью местами в детских садах. Снижение числа дошкольников в 2025 г до 547 (2024 г - 604) повлекло за собой оптимизацию кадров.</w:t>
      </w:r>
      <w:r>
        <w:rPr>
          <w:lang w:val="en-US"/>
        </w:rPr>
        <w:t> </w:t>
      </w:r>
      <w:r w:rsidRPr="00FE0D0E">
        <w:t xml:space="preserve"> На 01.01.2026 кадровый состав дошкольного образования - 145 работников (2024 г -165), их них 51 педагогических).</w:t>
      </w:r>
    </w:p>
    <w:p w14:paraId="489D19E9" w14:textId="77777777" w:rsidR="00A82C22" w:rsidRDefault="001F1010" w:rsidP="00A82C22">
      <w:pPr>
        <w:ind w:firstLine="709"/>
        <w:jc w:val="both"/>
        <w:divId w:val="1972859180"/>
      </w:pPr>
      <w:r w:rsidRPr="00FE0D0E">
        <w:lastRenderedPageBreak/>
        <w:t>Из муниципального бюджета возмещены расходы за освобождение от уплаты родительской платы льготных категорий граждан в сумме 1,8 млн. руб. (2024 г -1,3 млн. руб.)</w:t>
      </w:r>
    </w:p>
    <w:p w14:paraId="1BBDF922" w14:textId="5A71537F" w:rsidR="00A82C22" w:rsidRDefault="001F1010" w:rsidP="00A82C22">
      <w:pPr>
        <w:ind w:firstLine="709"/>
        <w:jc w:val="both"/>
        <w:divId w:val="1972859180"/>
      </w:pPr>
      <w:r w:rsidRPr="00FE0D0E">
        <w:t>Дополнительное образование успешно реализуют ДЮЦ, Спортивная школа, ДШИ и школы, имеющие лицензию на осуществление деятельности по дополнительному образованию. Доля детей, охваченных дополнительным образованием составила 79,1 %.</w:t>
      </w:r>
    </w:p>
    <w:p w14:paraId="23DE1849" w14:textId="77777777" w:rsidR="00A82C22" w:rsidRDefault="001F1010" w:rsidP="00A82C22">
      <w:pPr>
        <w:ind w:firstLine="709"/>
        <w:jc w:val="both"/>
        <w:divId w:val="1972859180"/>
      </w:pPr>
      <w:r w:rsidRPr="00FE0D0E">
        <w:t>Продолжается обеспечение условий для развития физической культуры, школьного и массового спорта. Спортшкола является спортивным центром района и современным многофункциональным спорткомплексом. Продолжается появление новых спортплощадок по проекту ППМИ.</w:t>
      </w:r>
    </w:p>
    <w:p w14:paraId="69B97C1B" w14:textId="77777777" w:rsidR="00A82C22" w:rsidRDefault="001F1010" w:rsidP="00A82C22">
      <w:pPr>
        <w:ind w:firstLine="709"/>
        <w:jc w:val="both"/>
        <w:divId w:val="1972859180"/>
      </w:pPr>
      <w:r w:rsidRPr="00FE0D0E">
        <w:t>Благодаря большой работе коллектива и спортсменов в итоговом зачете за 2025 год Топчихинский район занял 11 место в общекомандном первенстве среди сельских районов и округов Алтайского края, как среди детско-юношеского спорта, так и среди взрослого населения. Подтверждением тому являются 2 место хоккейной сборной района команды «</w:t>
      </w:r>
      <w:proofErr w:type="spellStart"/>
      <w:r w:rsidRPr="00FE0D0E">
        <w:t>РиФ</w:t>
      </w:r>
      <w:proofErr w:type="spellEnd"/>
      <w:r w:rsidRPr="00FE0D0E">
        <w:t>» с. Фунтики и 2 место футбольной сборной района на финальных соревнованиях 39-ой зимней Олимпиады сельских спортсменов Алтайского края.</w:t>
      </w:r>
    </w:p>
    <w:p w14:paraId="761DDA7F" w14:textId="77777777" w:rsidR="00A82C22" w:rsidRDefault="001F1010" w:rsidP="00A82C22">
      <w:pPr>
        <w:ind w:firstLine="709"/>
        <w:jc w:val="both"/>
        <w:divId w:val="1972859180"/>
      </w:pPr>
      <w:r w:rsidRPr="00FE0D0E">
        <w:t>По муниципальной программе «Развитие физической культуры и спорта» в 2025 году освоено 16,5 млн. руб., в том числе 15,6 млн. руб. - средства районного бюджета.</w:t>
      </w:r>
    </w:p>
    <w:p w14:paraId="178627C3" w14:textId="75700DD2" w:rsidR="00A82C22" w:rsidRDefault="001F1010" w:rsidP="00512FE0">
      <w:pPr>
        <w:ind w:firstLine="709"/>
        <w:jc w:val="both"/>
        <w:divId w:val="1972859180"/>
      </w:pPr>
      <w:r w:rsidRPr="00FE0D0E">
        <w:t>Сфера культуры сохранила свою структуру: центральный Дом культуры с сетью структурных подразделений: центральная районная и детская библиотеки, районный краеведческий музей, 27 сельских домов культуры и клубов, 17 из которых осуществляют библиотечную деятельность.</w:t>
      </w:r>
      <w:r w:rsidR="00512FE0">
        <w:t xml:space="preserve"> </w:t>
      </w:r>
      <w:r w:rsidRPr="00FE0D0E">
        <w:t>Большое внимание уделяется охране и сохранению объектов культурного наследия. В 2025 году капитально отремонтированы 3 памятника Великой Отечественной войны в селах Парфёново, Чистюнька и п. Дружба.</w:t>
      </w:r>
    </w:p>
    <w:p w14:paraId="650CBE2A" w14:textId="1D6E955B" w:rsidR="00A82C22" w:rsidRDefault="001F1010" w:rsidP="00512FE0">
      <w:pPr>
        <w:ind w:firstLine="709"/>
        <w:jc w:val="both"/>
        <w:divId w:val="1972859180"/>
      </w:pPr>
      <w:r w:rsidRPr="00FE0D0E">
        <w:t xml:space="preserve">Сфера здравоохранения представлена центральной районной больницей, в составе которой стационар на 52 круглосуточных и 37 дневных коек, поликлиника на 350 посещений, 4 врачебных амбулатории, 15 </w:t>
      </w:r>
      <w:proofErr w:type="spellStart"/>
      <w:r w:rsidRPr="00FE0D0E">
        <w:t>ФАПов</w:t>
      </w:r>
      <w:proofErr w:type="spellEnd"/>
      <w:r w:rsidRPr="00FE0D0E">
        <w:t>.</w:t>
      </w:r>
      <w:r w:rsidR="00512FE0">
        <w:t xml:space="preserve"> </w:t>
      </w:r>
      <w:r w:rsidRPr="00FE0D0E">
        <w:t>В системе работают 261 человек, из них 37 врачей, 125 средних медицинских работников. Укомплектованность врачами составила 74 %, средними медицинскими работниками - 89 %. За счет средств районного бюджета предусмотрены единовременные подъемные молодым специалистам.</w:t>
      </w:r>
      <w:r w:rsidR="00512FE0">
        <w:t xml:space="preserve"> </w:t>
      </w:r>
      <w:r w:rsidRPr="00FE0D0E">
        <w:t>Активно работает мобильный ФАП, проведено 284 выезда в населённые пункты, где отсутствуют медицинские работники, осмотрено 5203 человека.</w:t>
      </w:r>
    </w:p>
    <w:p w14:paraId="1FC2EE15" w14:textId="65F287B4" w:rsidR="00A82C22" w:rsidRDefault="001F1010" w:rsidP="00A82C22">
      <w:pPr>
        <w:ind w:firstLine="709"/>
        <w:jc w:val="both"/>
        <w:divId w:val="1972859180"/>
      </w:pPr>
      <w:r w:rsidRPr="00FE0D0E">
        <w:t>Управлением социальной защиты населения по Топчихинскому району продолжают оказываться меры социальной поддержки различным категориям граждан. 41,3 % населения района получили 34 вида различных выплат и пособий на сумму 120,3 млн. рублей.</w:t>
      </w:r>
    </w:p>
    <w:p w14:paraId="10D54598" w14:textId="77777777" w:rsidR="00ED35EA" w:rsidRDefault="001F1010" w:rsidP="00A82C22">
      <w:pPr>
        <w:ind w:firstLine="709"/>
        <w:jc w:val="both"/>
        <w:divId w:val="1972859180"/>
      </w:pPr>
      <w:r w:rsidRPr="00FE0D0E">
        <w:t>Семьям с детьми предоставлено 18 видов выплат, из них 15 краевого значения. Для многодетных семей, а их в районе 438 семей, предусмотрено 11 видов выплат за счет средств краевого бюджета. Особое внимание уделено малообеспеченным. Продолжает предоставляться материнский капитал. На постоянном контроле социальных служб семьи участников СВО.</w:t>
      </w:r>
    </w:p>
    <w:p w14:paraId="3EE59A3D" w14:textId="43644765" w:rsidR="00ED35EA" w:rsidRDefault="001F1010" w:rsidP="00A82C22">
      <w:pPr>
        <w:ind w:firstLine="709"/>
        <w:jc w:val="both"/>
        <w:divId w:val="1972859180"/>
        <w:rPr>
          <w:lang w:val="en-US"/>
        </w:rPr>
      </w:pPr>
      <w:r w:rsidRPr="00FE0D0E">
        <w:t xml:space="preserve">В связи с превышением предельных индексов </w:t>
      </w:r>
      <w:r w:rsidR="00ED35EA">
        <w:t xml:space="preserve">роста платы граждан </w:t>
      </w:r>
      <w:r w:rsidRPr="00FE0D0E">
        <w:t>за услуги ЖКХ Администрацией района выплачивается населению компенсация за услугу теплоснабжение, твердое топливо. За год выплачено 151,8 тыс. руб. 43 получателям.</w:t>
      </w:r>
      <w:r>
        <w:rPr>
          <w:lang w:val="en-US"/>
        </w:rPr>
        <w:t> </w:t>
      </w:r>
    </w:p>
    <w:p w14:paraId="0DACE479" w14:textId="01DDA84B" w:rsidR="0074511A" w:rsidRPr="00FE0D0E" w:rsidRDefault="001F1010" w:rsidP="00ED35EA">
      <w:pPr>
        <w:ind w:firstLine="709"/>
        <w:jc w:val="both"/>
        <w:divId w:val="1972859180"/>
      </w:pPr>
      <w:r w:rsidRPr="00FE0D0E">
        <w:t>Большое количество социальных услуг предоставляют краевы</w:t>
      </w:r>
      <w:r w:rsidR="00ED35EA">
        <w:t>е</w:t>
      </w:r>
      <w:r w:rsidRPr="00FE0D0E">
        <w:t xml:space="preserve"> государственны</w:t>
      </w:r>
      <w:r w:rsidR="00ED35EA">
        <w:t>е</w:t>
      </w:r>
      <w:r w:rsidRPr="00FE0D0E">
        <w:t xml:space="preserve"> бюджетны</w:t>
      </w:r>
      <w:r w:rsidR="00ED35EA">
        <w:t>е</w:t>
      </w:r>
      <w:r w:rsidRPr="00FE0D0E">
        <w:t xml:space="preserve"> учреждения социального обслуживания: «</w:t>
      </w:r>
      <w:proofErr w:type="spellStart"/>
      <w:r w:rsidRPr="00FE0D0E">
        <w:t>Добр</w:t>
      </w:r>
      <w:r w:rsidR="00ED35EA">
        <w:t>одея</w:t>
      </w:r>
      <w:proofErr w:type="spellEnd"/>
      <w:r w:rsidR="00ED35EA">
        <w:t xml:space="preserve">» в </w:t>
      </w:r>
      <w:r w:rsidRPr="00FE0D0E">
        <w:t>с. Фунтики и «Комплексный центр социа</w:t>
      </w:r>
      <w:bookmarkStart w:id="0" w:name="_GoBack"/>
      <w:bookmarkEnd w:id="0"/>
      <w:r w:rsidRPr="00FE0D0E">
        <w:t>льного обслуживания населения» в с. Топчиха, а также негосударственны</w:t>
      </w:r>
      <w:r w:rsidR="00ED35EA">
        <w:t>е социальные</w:t>
      </w:r>
      <w:r w:rsidRPr="00FE0D0E">
        <w:t xml:space="preserve"> общежития в селах Володарка, Парфёново и Победим.</w:t>
      </w:r>
    </w:p>
    <w:p w14:paraId="3CC5AB28" w14:textId="21B5E197" w:rsidR="0074511A" w:rsidRDefault="0074511A" w:rsidP="00A82C22">
      <w:pPr>
        <w:divId w:val="1537622445"/>
      </w:pPr>
      <w:r>
        <w:br/>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3118"/>
        <w:gridCol w:w="3261"/>
        <w:gridCol w:w="2975"/>
      </w:tblGrid>
      <w:tr w:rsidR="0074511A" w:rsidRPr="00A82C22" w14:paraId="2AB2A4E2" w14:textId="77777777" w:rsidTr="00A82C22">
        <w:trPr>
          <w:divId w:val="1191646061"/>
          <w:tblCellSpacing w:w="15" w:type="dxa"/>
          <w:jc w:val="right"/>
        </w:trPr>
        <w:tc>
          <w:tcPr>
            <w:tcW w:w="3073" w:type="dxa"/>
            <w:vAlign w:val="center"/>
            <w:hideMark/>
          </w:tcPr>
          <w:p w14:paraId="0643F607" w14:textId="18B0FE2C" w:rsidR="0074511A" w:rsidRPr="00A82C22" w:rsidRDefault="001F1010" w:rsidP="00A82C22">
            <w:pPr>
              <w:spacing w:line="276" w:lineRule="auto"/>
            </w:pPr>
            <w:proofErr w:type="spellStart"/>
            <w:r w:rsidRPr="00A82C22">
              <w:rPr>
                <w:lang w:val="en-US"/>
              </w:rPr>
              <w:t>Глава</w:t>
            </w:r>
            <w:proofErr w:type="spellEnd"/>
            <w:r w:rsidR="00A82C22">
              <w:t xml:space="preserve"> района</w:t>
            </w:r>
          </w:p>
        </w:tc>
        <w:tc>
          <w:tcPr>
            <w:tcW w:w="3231" w:type="dxa"/>
            <w:vAlign w:val="bottom"/>
            <w:hideMark/>
          </w:tcPr>
          <w:p w14:paraId="78420B82" w14:textId="77777777" w:rsidR="0074511A" w:rsidRPr="00A82C22" w:rsidRDefault="0074511A">
            <w:r w:rsidRPr="00A82C22">
              <w:t>__________</w:t>
            </w:r>
          </w:p>
        </w:tc>
        <w:tc>
          <w:tcPr>
            <w:tcW w:w="2930" w:type="dxa"/>
            <w:vAlign w:val="bottom"/>
            <w:hideMark/>
          </w:tcPr>
          <w:p w14:paraId="18C0776F" w14:textId="46AC9841" w:rsidR="0074511A" w:rsidRPr="00A82C22" w:rsidRDefault="001F1010">
            <w:pPr>
              <w:spacing w:line="276" w:lineRule="auto"/>
              <w:rPr>
                <w:lang w:val="en-US"/>
              </w:rPr>
            </w:pPr>
            <w:r w:rsidRPr="00A82C22">
              <w:rPr>
                <w:lang w:val="en-US"/>
              </w:rPr>
              <w:t>Тренькаев Денис Сергеевич</w:t>
            </w:r>
          </w:p>
        </w:tc>
      </w:tr>
      <w:tr w:rsidR="0074511A" w:rsidRPr="00A82C22" w14:paraId="7CE077F3" w14:textId="77777777" w:rsidTr="00A82C22">
        <w:trPr>
          <w:divId w:val="1191646061"/>
          <w:tblCellSpacing w:w="15" w:type="dxa"/>
          <w:jc w:val="right"/>
        </w:trPr>
        <w:tc>
          <w:tcPr>
            <w:tcW w:w="3073" w:type="dxa"/>
            <w:vAlign w:val="center"/>
            <w:hideMark/>
          </w:tcPr>
          <w:p w14:paraId="226C377D" w14:textId="77777777" w:rsidR="0074511A" w:rsidRPr="00A82C22" w:rsidRDefault="0074511A">
            <w:r w:rsidRPr="00A82C22">
              <w:t> </w:t>
            </w:r>
          </w:p>
        </w:tc>
        <w:tc>
          <w:tcPr>
            <w:tcW w:w="3231" w:type="dxa"/>
            <w:hideMark/>
          </w:tcPr>
          <w:p w14:paraId="2C997188" w14:textId="77777777" w:rsidR="0074511A" w:rsidRPr="00A82C22" w:rsidRDefault="0074511A">
            <w:r w:rsidRPr="00A82C22">
              <w:t>(подпись)</w:t>
            </w:r>
          </w:p>
        </w:tc>
        <w:tc>
          <w:tcPr>
            <w:tcW w:w="2930" w:type="dxa"/>
            <w:vAlign w:val="center"/>
            <w:hideMark/>
          </w:tcPr>
          <w:p w14:paraId="15A52DF3" w14:textId="77777777" w:rsidR="0074511A" w:rsidRPr="00A82C22" w:rsidRDefault="0074511A">
            <w:r w:rsidRPr="00A82C22">
              <w:t> </w:t>
            </w:r>
          </w:p>
        </w:tc>
      </w:tr>
    </w:tbl>
    <w:p w14:paraId="7A9732F2" w14:textId="77777777" w:rsidR="0074511A" w:rsidRDefault="0074511A">
      <w:pPr>
        <w:divId w:val="1537622445"/>
      </w:pPr>
    </w:p>
    <w:sectPr w:rsidR="0074511A" w:rsidSect="00FE0D0E">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A3B16" w14:textId="77777777" w:rsidR="00C6586D" w:rsidRDefault="00C6586D" w:rsidP="00D47142">
      <w:r>
        <w:separator/>
      </w:r>
    </w:p>
  </w:endnote>
  <w:endnote w:type="continuationSeparator" w:id="0">
    <w:p w14:paraId="54E908DE" w14:textId="77777777" w:rsidR="00C6586D" w:rsidRDefault="00C6586D" w:rsidP="00D4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8DE3B" w14:textId="77777777" w:rsidR="00D47142" w:rsidRDefault="00D47142">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34340" w14:textId="257D01D3" w:rsidR="00D47142" w:rsidRDefault="00D47142" w:rsidP="00D47142">
    <w:pPr>
      <w:pStyle w:val="a6"/>
      <w:jc w:val="right"/>
    </w:pPr>
    <w:r>
      <w:fldChar w:fldCharType="begin"/>
    </w:r>
    <w:r>
      <w:instrText xml:space="preserve"> PAGE  \* MERGEFORMAT </w:instrText>
    </w:r>
    <w:r>
      <w:fldChar w:fldCharType="separate"/>
    </w:r>
    <w:r w:rsidR="00ED35EA">
      <w:rPr>
        <w:noProof/>
      </w:rPr>
      <w:t>6</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E02DA" w14:textId="77777777" w:rsidR="00D47142" w:rsidRDefault="00D4714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05627" w14:textId="77777777" w:rsidR="00C6586D" w:rsidRDefault="00C6586D" w:rsidP="00D47142">
      <w:r>
        <w:separator/>
      </w:r>
    </w:p>
  </w:footnote>
  <w:footnote w:type="continuationSeparator" w:id="0">
    <w:p w14:paraId="44241B7B" w14:textId="77777777" w:rsidR="00C6586D" w:rsidRDefault="00C6586D" w:rsidP="00D471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01AD6" w14:textId="77777777" w:rsidR="00D47142" w:rsidRDefault="00D47142">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B4815" w14:textId="77777777" w:rsidR="00D47142" w:rsidRDefault="00D47142">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63AB7" w14:textId="77777777" w:rsidR="00D47142" w:rsidRDefault="00D4714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142"/>
    <w:rsid w:val="000D3D3D"/>
    <w:rsid w:val="0015389F"/>
    <w:rsid w:val="001876BE"/>
    <w:rsid w:val="001F1010"/>
    <w:rsid w:val="00467A05"/>
    <w:rsid w:val="004F2360"/>
    <w:rsid w:val="00512FE0"/>
    <w:rsid w:val="005A1D93"/>
    <w:rsid w:val="00610981"/>
    <w:rsid w:val="00705BA6"/>
    <w:rsid w:val="0074511A"/>
    <w:rsid w:val="008E0719"/>
    <w:rsid w:val="00954C8F"/>
    <w:rsid w:val="00A82C22"/>
    <w:rsid w:val="00BB31AC"/>
    <w:rsid w:val="00C6586D"/>
    <w:rsid w:val="00C97D56"/>
    <w:rsid w:val="00D47142"/>
    <w:rsid w:val="00E53E4C"/>
    <w:rsid w:val="00ED35EA"/>
    <w:rsid w:val="00FE0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7D70E"/>
  <w15:chartTrackingRefBased/>
  <w15:docId w15:val="{CCFF18FB-2FD0-4234-9917-B6419077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uiPriority w:val="99"/>
    <w:unhideWhenUsed/>
    <w:pPr>
      <w:spacing w:before="100" w:beforeAutospacing="1" w:after="100" w:afterAutospacing="1"/>
    </w:pPr>
  </w:style>
  <w:style w:type="character" w:styleId="a3">
    <w:name w:val="Strong"/>
    <w:basedOn w:val="a0"/>
    <w:uiPriority w:val="22"/>
    <w:qFormat/>
    <w:rPr>
      <w:b/>
      <w:bCs/>
    </w:rPr>
  </w:style>
  <w:style w:type="paragraph" w:styleId="a4">
    <w:name w:val="header"/>
    <w:basedOn w:val="a"/>
    <w:link w:val="a5"/>
    <w:uiPriority w:val="99"/>
    <w:semiHidden/>
    <w:unhideWhenUsed/>
    <w:rsid w:val="00D47142"/>
    <w:pPr>
      <w:tabs>
        <w:tab w:val="center" w:pos="4677"/>
        <w:tab w:val="right" w:pos="9355"/>
      </w:tabs>
    </w:pPr>
  </w:style>
  <w:style w:type="character" w:customStyle="1" w:styleId="a5">
    <w:name w:val="Верхний колонтитул Знак"/>
    <w:basedOn w:val="a0"/>
    <w:link w:val="a4"/>
    <w:uiPriority w:val="99"/>
    <w:semiHidden/>
    <w:rsid w:val="00D47142"/>
    <w:rPr>
      <w:rFonts w:eastAsia="Times New Roman"/>
      <w:sz w:val="24"/>
      <w:szCs w:val="24"/>
    </w:rPr>
  </w:style>
  <w:style w:type="paragraph" w:styleId="a6">
    <w:name w:val="footer"/>
    <w:basedOn w:val="a"/>
    <w:link w:val="a7"/>
    <w:uiPriority w:val="99"/>
    <w:semiHidden/>
    <w:unhideWhenUsed/>
    <w:rsid w:val="00D47142"/>
    <w:pPr>
      <w:tabs>
        <w:tab w:val="center" w:pos="4677"/>
        <w:tab w:val="right" w:pos="9355"/>
      </w:tabs>
    </w:pPr>
  </w:style>
  <w:style w:type="character" w:customStyle="1" w:styleId="a7">
    <w:name w:val="Нижний колонтитул Знак"/>
    <w:basedOn w:val="a0"/>
    <w:link w:val="a6"/>
    <w:uiPriority w:val="99"/>
    <w:semiHidden/>
    <w:rsid w:val="00D47142"/>
    <w:rPr>
      <w:rFonts w:eastAsia="Times New Roman"/>
      <w:sz w:val="24"/>
      <w:szCs w:val="24"/>
    </w:rPr>
  </w:style>
  <w:style w:type="paragraph" w:styleId="a8">
    <w:name w:val="Balloon Text"/>
    <w:basedOn w:val="a"/>
    <w:link w:val="a9"/>
    <w:uiPriority w:val="99"/>
    <w:semiHidden/>
    <w:unhideWhenUsed/>
    <w:rsid w:val="00610981"/>
    <w:rPr>
      <w:rFonts w:ascii="Segoe UI" w:hAnsi="Segoe UI" w:cs="Segoe UI"/>
      <w:sz w:val="18"/>
      <w:szCs w:val="18"/>
    </w:rPr>
  </w:style>
  <w:style w:type="character" w:customStyle="1" w:styleId="a9">
    <w:name w:val="Текст выноски Знак"/>
    <w:basedOn w:val="a0"/>
    <w:link w:val="a8"/>
    <w:uiPriority w:val="99"/>
    <w:semiHidden/>
    <w:rsid w:val="006109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622445">
      <w:marLeft w:val="0"/>
      <w:marRight w:val="0"/>
      <w:marTop w:val="0"/>
      <w:marBottom w:val="0"/>
      <w:divBdr>
        <w:top w:val="none" w:sz="0" w:space="0" w:color="auto"/>
        <w:left w:val="none" w:sz="0" w:space="0" w:color="auto"/>
        <w:bottom w:val="none" w:sz="0" w:space="0" w:color="auto"/>
        <w:right w:val="none" w:sz="0" w:space="0" w:color="auto"/>
      </w:divBdr>
      <w:divsChild>
        <w:div w:id="223301121">
          <w:marLeft w:val="300"/>
          <w:marRight w:val="0"/>
          <w:marTop w:val="0"/>
          <w:marBottom w:val="0"/>
          <w:divBdr>
            <w:top w:val="none" w:sz="0" w:space="0" w:color="auto"/>
            <w:left w:val="none" w:sz="0" w:space="0" w:color="auto"/>
            <w:bottom w:val="none" w:sz="0" w:space="0" w:color="auto"/>
            <w:right w:val="none" w:sz="0" w:space="0" w:color="auto"/>
          </w:divBdr>
        </w:div>
        <w:div w:id="1450320109">
          <w:marLeft w:val="300"/>
          <w:marRight w:val="0"/>
          <w:marTop w:val="0"/>
          <w:marBottom w:val="0"/>
          <w:divBdr>
            <w:top w:val="none" w:sz="0" w:space="0" w:color="auto"/>
            <w:left w:val="none" w:sz="0" w:space="0" w:color="auto"/>
            <w:bottom w:val="none" w:sz="0" w:space="0" w:color="auto"/>
            <w:right w:val="none" w:sz="0" w:space="0" w:color="auto"/>
          </w:divBdr>
        </w:div>
        <w:div w:id="1006633197">
          <w:marLeft w:val="300"/>
          <w:marRight w:val="0"/>
          <w:marTop w:val="0"/>
          <w:marBottom w:val="0"/>
          <w:divBdr>
            <w:top w:val="none" w:sz="0" w:space="0" w:color="auto"/>
            <w:left w:val="none" w:sz="0" w:space="0" w:color="auto"/>
            <w:bottom w:val="none" w:sz="0" w:space="0" w:color="auto"/>
            <w:right w:val="none" w:sz="0" w:space="0" w:color="auto"/>
          </w:divBdr>
        </w:div>
        <w:div w:id="672149918">
          <w:marLeft w:val="300"/>
          <w:marRight w:val="0"/>
          <w:marTop w:val="0"/>
          <w:marBottom w:val="0"/>
          <w:divBdr>
            <w:top w:val="none" w:sz="0" w:space="0" w:color="auto"/>
            <w:left w:val="none" w:sz="0" w:space="0" w:color="auto"/>
            <w:bottom w:val="none" w:sz="0" w:space="0" w:color="auto"/>
            <w:right w:val="none" w:sz="0" w:space="0" w:color="auto"/>
          </w:divBdr>
        </w:div>
        <w:div w:id="1356543834">
          <w:marLeft w:val="300"/>
          <w:marRight w:val="0"/>
          <w:marTop w:val="0"/>
          <w:marBottom w:val="0"/>
          <w:divBdr>
            <w:top w:val="none" w:sz="0" w:space="0" w:color="auto"/>
            <w:left w:val="none" w:sz="0" w:space="0" w:color="auto"/>
            <w:bottom w:val="none" w:sz="0" w:space="0" w:color="auto"/>
            <w:right w:val="none" w:sz="0" w:space="0" w:color="auto"/>
          </w:divBdr>
        </w:div>
        <w:div w:id="1611469857">
          <w:marLeft w:val="300"/>
          <w:marRight w:val="0"/>
          <w:marTop w:val="0"/>
          <w:marBottom w:val="0"/>
          <w:divBdr>
            <w:top w:val="none" w:sz="0" w:space="0" w:color="auto"/>
            <w:left w:val="none" w:sz="0" w:space="0" w:color="auto"/>
            <w:bottom w:val="none" w:sz="0" w:space="0" w:color="auto"/>
            <w:right w:val="none" w:sz="0" w:space="0" w:color="auto"/>
          </w:divBdr>
        </w:div>
        <w:div w:id="1437944105">
          <w:marLeft w:val="300"/>
          <w:marRight w:val="0"/>
          <w:marTop w:val="0"/>
          <w:marBottom w:val="0"/>
          <w:divBdr>
            <w:top w:val="none" w:sz="0" w:space="0" w:color="auto"/>
            <w:left w:val="none" w:sz="0" w:space="0" w:color="auto"/>
            <w:bottom w:val="none" w:sz="0" w:space="0" w:color="auto"/>
            <w:right w:val="none" w:sz="0" w:space="0" w:color="auto"/>
          </w:divBdr>
        </w:div>
        <w:div w:id="1904366202">
          <w:marLeft w:val="300"/>
          <w:marRight w:val="0"/>
          <w:marTop w:val="0"/>
          <w:marBottom w:val="0"/>
          <w:divBdr>
            <w:top w:val="none" w:sz="0" w:space="0" w:color="auto"/>
            <w:left w:val="none" w:sz="0" w:space="0" w:color="auto"/>
            <w:bottom w:val="none" w:sz="0" w:space="0" w:color="auto"/>
            <w:right w:val="none" w:sz="0" w:space="0" w:color="auto"/>
          </w:divBdr>
        </w:div>
        <w:div w:id="1972859180">
          <w:marLeft w:val="300"/>
          <w:marRight w:val="0"/>
          <w:marTop w:val="0"/>
          <w:marBottom w:val="0"/>
          <w:divBdr>
            <w:top w:val="none" w:sz="0" w:space="0" w:color="auto"/>
            <w:left w:val="none" w:sz="0" w:space="0" w:color="auto"/>
            <w:bottom w:val="none" w:sz="0" w:space="0" w:color="auto"/>
            <w:right w:val="none" w:sz="0" w:space="0" w:color="auto"/>
          </w:divBdr>
        </w:div>
        <w:div w:id="119164606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8</Pages>
  <Words>3547</Words>
  <Characters>20223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GUEI</Company>
  <LinksUpToDate>false</LinksUpToDate>
  <CharactersWithSpaces>23723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webadmin</dc:creator>
  <cp:keywords/>
  <dc:description/>
  <cp:lastModifiedBy>root</cp:lastModifiedBy>
  <cp:revision>11</cp:revision>
  <cp:lastPrinted>2026-04-21T07:24:00Z</cp:lastPrinted>
  <dcterms:created xsi:type="dcterms:W3CDTF">2022-03-29T02:16:00Z</dcterms:created>
  <dcterms:modified xsi:type="dcterms:W3CDTF">2026-04-21T07:26:00Z</dcterms:modified>
</cp:coreProperties>
</file>