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1408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ПАРФЁНОВСКОГО СЕЛЬСОВЕТА </w:t>
      </w:r>
    </w:p>
    <w:p w14:paraId="3259248A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14:paraId="20DB8D5D">
      <w:pPr>
        <w:jc w:val="center"/>
        <w:rPr>
          <w:b/>
          <w:bCs/>
          <w:sz w:val="26"/>
          <w:szCs w:val="26"/>
        </w:rPr>
      </w:pPr>
    </w:p>
    <w:p w14:paraId="21CAEA59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14:paraId="008D2FB4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14:paraId="436BB7ED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14:paraId="167BC708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05.06.2026                                                                                                      №  27                                                                                                                                                                                                                  </w:t>
      </w:r>
    </w:p>
    <w:p w14:paraId="258F4B3C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с. Парфёново</w:t>
      </w:r>
    </w:p>
    <w:p w14:paraId="054601A9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14:paraId="69BA6119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631C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BD878">
            <w:pPr>
              <w:pStyle w:val="9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>
              <w:rPr>
                <w:sz w:val="28"/>
                <w:szCs w:val="28"/>
              </w:rPr>
              <w:t xml:space="preserve">уведомления муниципальными служащими Администрации Парфёновского сельсовета Топчихинского района Алтайского края представителя нанимателя (работодателя) о намерении выполнять иную оплачиваемую работу </w:t>
            </w:r>
          </w:p>
        </w:tc>
      </w:tr>
    </w:tbl>
    <w:p w14:paraId="4F9CCF74">
      <w:pPr>
        <w:pStyle w:val="8"/>
        <w:ind w:firstLine="709"/>
        <w:jc w:val="both"/>
        <w:rPr>
          <w:rFonts w:ascii="PT Astra Serif" w:hAnsi="PT Astra Serif"/>
          <w:sz w:val="28"/>
        </w:rPr>
      </w:pPr>
    </w:p>
    <w:p w14:paraId="4DCF701A">
      <w:pPr>
        <w:pStyle w:val="9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"https://login.consultant.ru/link/?req=doc&amp;base=LAW&amp;n=523291&amp;dst=100288" </w:instrText>
      </w:r>
      <w:r>
        <w:fldChar w:fldCharType="separate"/>
      </w:r>
      <w:r>
        <w:rPr>
          <w:rStyle w:val="4"/>
          <w:color w:val="000000"/>
          <w:sz w:val="28"/>
          <w:szCs w:val="28"/>
          <w:u w:val="none"/>
        </w:rPr>
        <w:t>частью 2 статьи 11</w:t>
      </w:r>
      <w:r>
        <w:rPr>
          <w:rStyle w:val="4"/>
          <w:color w:val="000000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Парфёновский сельсовет Топчихинского района Алтайского края, </w:t>
      </w:r>
      <w:r>
        <w:rPr>
          <w:spacing w:val="4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2A0C82EB">
      <w:pPr>
        <w:pStyle w:val="9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 прилагаемый Порядок уведомления муниципальными служащими Администрации Парфёновского сельсовета Топчихинского района Алтайского края представителя нанимателя (работодателя) о намерении выполнять иную оплачиваемую работу.</w:t>
      </w:r>
    </w:p>
    <w:p w14:paraId="0DC23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 силу постановления Администрации сельсовета  </w:t>
      </w:r>
    </w:p>
    <w:p w14:paraId="0088A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23.11.2010 № 46 «Об утверждении Порядка уведомления муниципальным служащим Администрации Парфёновского сельсовета о выполнении иной оплачиваемой работы»;</w:t>
      </w:r>
    </w:p>
    <w:p w14:paraId="58483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28.04.2020 №14-2 «О внесении изменения в Порядок уведомления муниципальными служащими Администрации Парфёновского сельсовета Топчихинского района Алтайского края о выполнении иной оплачиваемой работы, принятый постановлением Администрации сельсовета от 23.11.2010 № 46».</w:t>
      </w:r>
    </w:p>
    <w:p w14:paraId="64A18526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237DF2F9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1DF1113">
      <w:pPr>
        <w:pStyle w:val="8"/>
        <w:spacing w:after="240"/>
        <w:ind w:firstLine="0"/>
        <w:jc w:val="both"/>
        <w:rPr>
          <w:sz w:val="28"/>
          <w:szCs w:val="28"/>
        </w:rPr>
      </w:pPr>
    </w:p>
    <w:p w14:paraId="559EDED7">
      <w:pPr>
        <w:pStyle w:val="8"/>
        <w:spacing w:after="2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сельсовета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      В.И. Субочев                                                                                              </w:t>
      </w:r>
    </w:p>
    <w:p w14:paraId="4AD7CF3F">
      <w:pPr>
        <w:pStyle w:val="8"/>
        <w:spacing w:after="240"/>
        <w:rPr>
          <w:sz w:val="28"/>
          <w:szCs w:val="28"/>
        </w:rPr>
      </w:pPr>
    </w:p>
    <w:p w14:paraId="2F480EEA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 постановлением Администрации сельсовета от  05.06. 2026 № 27</w:t>
      </w:r>
    </w:p>
    <w:p w14:paraId="7A710557">
      <w:pPr>
        <w:pStyle w:val="9"/>
        <w:jc w:val="center"/>
        <w:rPr>
          <w:sz w:val="28"/>
          <w:szCs w:val="28"/>
        </w:rPr>
      </w:pPr>
    </w:p>
    <w:p w14:paraId="5CE6CEBE">
      <w:pPr>
        <w:pStyle w:val="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Порядок</w:t>
      </w:r>
    </w:p>
    <w:p w14:paraId="1D963DD8">
      <w:pPr>
        <w:pStyle w:val="9"/>
        <w:jc w:val="center"/>
        <w:rPr>
          <w:b/>
          <w:sz w:val="28"/>
          <w:szCs w:val="28"/>
        </w:rPr>
      </w:pPr>
      <w:r>
        <w:rPr>
          <w:sz w:val="28"/>
          <w:szCs w:val="28"/>
        </w:rPr>
        <w:t>уведомления муниципальными служащими Администрации Парфёновского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14:paraId="27CF53BF">
      <w:pPr>
        <w:pStyle w:val="9"/>
        <w:jc w:val="center"/>
        <w:rPr>
          <w:sz w:val="28"/>
          <w:szCs w:val="28"/>
        </w:rPr>
      </w:pPr>
    </w:p>
    <w:p w14:paraId="57CC9CC7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определяет процедуру уведомления муниципальными служащими Администрации Парфёновского сельсовета Топчихинского района Алтайского края (далее – муниципальный служащий) представителя нанимателя (работодателя) о намерении выполнять иную оплачиваемую работу.</w:t>
      </w:r>
    </w:p>
    <w:p w14:paraId="5FA768B1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14:paraId="34682572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14:paraId="1A714369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fldChar w:fldCharType="begin"/>
      </w:r>
      <w:r>
        <w:instrText xml:space="preserve"> HYPERLINK \l "P80" </w:instrText>
      </w:r>
      <w:r>
        <w:fldChar w:fldCharType="separate"/>
      </w:r>
      <w:r>
        <w:rPr>
          <w:sz w:val="28"/>
          <w:szCs w:val="28"/>
        </w:rPr>
        <w:t>Уведомление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14:paraId="0633C114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r>
        <w:fldChar w:fldCharType="begin"/>
      </w:r>
      <w:r>
        <w:instrText xml:space="preserve"> HYPERLINK "https://login.consultant.ru/link/?req=doc&amp;base=LAW&amp;n=519026&amp;dst=101698" </w:instrText>
      </w:r>
      <w:r>
        <w:fldChar w:fldCharType="separate"/>
      </w:r>
      <w:r>
        <w:rPr>
          <w:sz w:val="28"/>
          <w:szCs w:val="28"/>
        </w:rPr>
        <w:t>главой 44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Трудового кодекса Российской Федерации.</w:t>
      </w:r>
    </w:p>
    <w:p w14:paraId="0A82DD02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14:paraId="596546CE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исключать случаи возникновения личной заинтересованности, которая приводит или может привести к конфликту интересов;</w:t>
      </w:r>
    </w:p>
    <w:p w14:paraId="1D5A25B4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26652E34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Регистрация уведомления осуществляет в день поступления и передается представителю нанимателя (работодателю) не позднее следующего рабочего дня после дня поступления уведомления.</w:t>
      </w:r>
    </w:p>
    <w:p w14:paraId="12AA4321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14:paraId="28DE1258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14:paraId="6A728D23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 в соответствии с Положением об этой комиссии.</w:t>
      </w:r>
    </w:p>
    <w:p w14:paraId="479D6962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14:paraId="7CE09D21">
      <w:pPr>
        <w:pStyle w:val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14:paraId="4FF8F499">
      <w:pPr>
        <w:pStyle w:val="11"/>
        <w:widowControl/>
        <w:ind w:firstLine="539"/>
        <w:jc w:val="both"/>
        <w:rPr>
          <w:rFonts w:ascii="PT Astra Serif" w:hAnsi="PT Astra Serif"/>
          <w:sz w:val="28"/>
        </w:rPr>
      </w:pPr>
    </w:p>
    <w:p w14:paraId="1CCC63EE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8226CD6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0BB6439C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A4C606E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0F1C54F9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4CF49558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5E123658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7BBBC4F4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D7FAF90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567F08F1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286F977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F1D23FE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4BFAB857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C7EBF30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55798F9E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338791EA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72F59EF6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53E04538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5DCC46F0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00CA5DFA">
      <w:pPr>
        <w:pStyle w:val="11"/>
        <w:widowControl/>
        <w:jc w:val="both"/>
        <w:rPr>
          <w:rFonts w:ascii="PT Astra Serif" w:hAnsi="PT Astra Serif"/>
          <w:sz w:val="28"/>
        </w:rPr>
      </w:pPr>
    </w:p>
    <w:p w14:paraId="6E83EBCD">
      <w:pPr>
        <w:pStyle w:val="11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55FA0937">
      <w:pPr>
        <w:pStyle w:val="11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74405E04">
      <w:pPr>
        <w:pStyle w:val="11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0B1C81C6">
      <w:pPr>
        <w:pStyle w:val="9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5FAB502F">
      <w:pPr>
        <w:pStyle w:val="9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Порядку уведомления муниципальными служащими Администрации Парфёновского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14:paraId="4A301150">
      <w:pPr>
        <w:pStyle w:val="9"/>
        <w:ind w:left="4820"/>
        <w:jc w:val="both"/>
        <w:rPr>
          <w:sz w:val="28"/>
          <w:szCs w:val="28"/>
        </w:rPr>
      </w:pPr>
    </w:p>
    <w:p w14:paraId="3114F5AB">
      <w:pPr>
        <w:pStyle w:val="10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14:paraId="0C215F2A">
      <w:pPr>
        <w:pStyle w:val="10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</w:t>
      </w:r>
    </w:p>
    <w:p w14:paraId="774C9104">
      <w:pPr>
        <w:pStyle w:val="10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</w:p>
    <w:p w14:paraId="4F644096">
      <w:pPr>
        <w:pStyle w:val="10"/>
        <w:widowControl/>
        <w:spacing w:line="240" w:lineRule="exact"/>
        <w:ind w:left="41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14:paraId="540E9754">
      <w:pPr>
        <w:pStyle w:val="10"/>
        <w:widowControl/>
        <w:ind w:left="4111"/>
        <w:jc w:val="both"/>
        <w:rPr>
          <w:rFonts w:ascii="PT Astra Serif" w:hAnsi="PT Astra Serif"/>
          <w:sz w:val="28"/>
        </w:rPr>
      </w:pPr>
    </w:p>
    <w:p w14:paraId="4ED04D61">
      <w:pPr>
        <w:pStyle w:val="9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 </w:t>
      </w:r>
      <w:r>
        <w:rPr>
          <w:sz w:val="20"/>
          <w:szCs w:val="20"/>
        </w:rPr>
        <w:t>(наименование должности, фамилия, инициалы муниципального служащего)</w:t>
      </w:r>
    </w:p>
    <w:p w14:paraId="2835503E">
      <w:pPr>
        <w:pStyle w:val="11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14:paraId="20541160">
      <w:pPr>
        <w:pStyle w:val="10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14:paraId="542B41DA">
      <w:pPr>
        <w:pStyle w:val="10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14:paraId="1A8A27F5">
      <w:pPr>
        <w:pStyle w:val="10"/>
        <w:widowControl/>
        <w:jc w:val="both"/>
        <w:rPr>
          <w:rFonts w:ascii="PT Astra Serif" w:hAnsi="PT Astra Serif"/>
          <w:sz w:val="28"/>
        </w:rPr>
      </w:pPr>
    </w:p>
    <w:p w14:paraId="412B9ABA">
      <w:pPr>
        <w:pStyle w:val="10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r>
        <w:fldChar w:fldCharType="begin"/>
      </w:r>
      <w:r>
        <w:instrText xml:space="preserve"> HYPERLINK "https://login.consultant.ru/link/?req=doc&amp;base=LAW&amp;n=523293&amp;dst=100122" </w:instrText>
      </w:r>
      <w:r>
        <w:fldChar w:fldCharType="separate"/>
      </w:r>
      <w:r>
        <w:rPr>
          <w:rFonts w:ascii="PT Astra Serif" w:hAnsi="PT Astra Serif"/>
          <w:sz w:val="28"/>
        </w:rPr>
        <w:t>частью 2 статьи 11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14:paraId="40DB984E">
      <w:pPr>
        <w:pStyle w:val="10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</w:t>
      </w:r>
    </w:p>
    <w:p w14:paraId="436EADCB">
      <w:pPr>
        <w:pStyle w:val="10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</w:t>
      </w:r>
    </w:p>
    <w:p w14:paraId="080E2D33">
      <w:pPr>
        <w:pStyle w:val="10"/>
        <w:widowControl/>
        <w:spacing w:line="2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14:paraId="22E8B8F3">
      <w:pPr>
        <w:pStyle w:val="10"/>
        <w:widowControl/>
        <w:jc w:val="center"/>
        <w:rPr>
          <w:rFonts w:ascii="PT Astra Serif" w:hAnsi="PT Astra Serif"/>
          <w:sz w:val="24"/>
        </w:rPr>
      </w:pPr>
    </w:p>
    <w:p w14:paraId="550BF753">
      <w:pPr>
        <w:pStyle w:val="10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14:paraId="471C1C12">
      <w:pPr>
        <w:pStyle w:val="10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r>
        <w:fldChar w:fldCharType="begin"/>
      </w:r>
      <w:r>
        <w:instrText xml:space="preserve"> HYPERLINK "https://login.consultant.ru/link/?req=doc&amp;base=LAW&amp;n=523293&amp;dst=100154" </w:instrText>
      </w:r>
      <w:r>
        <w:fldChar w:fldCharType="separate"/>
      </w:r>
      <w:r>
        <w:rPr>
          <w:rFonts w:ascii="PT Astra Serif" w:hAnsi="PT Astra Serif"/>
          <w:sz w:val="28"/>
        </w:rPr>
        <w:t>статьями 14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"https://login.consultant.ru/link/?req=doc&amp;base=LAW&amp;n=523293&amp;dst=100179" </w:instrText>
      </w:r>
      <w:r>
        <w:fldChar w:fldCharType="separate"/>
      </w:r>
      <w:r>
        <w:rPr>
          <w:rFonts w:ascii="PT Astra Serif" w:hAnsi="PT Astra Serif"/>
          <w:sz w:val="28"/>
        </w:rPr>
        <w:t>14.2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от 02.03.2007                № 25-ФЗ «О муниципальной службе в Российской Федерации».</w:t>
      </w:r>
    </w:p>
    <w:p w14:paraId="1C6DAE1E">
      <w:pPr>
        <w:pStyle w:val="10"/>
        <w:widowControl/>
        <w:jc w:val="both"/>
        <w:rPr>
          <w:rFonts w:ascii="PT Astra Serif" w:hAnsi="PT Astra Serif"/>
          <w:sz w:val="28"/>
        </w:rPr>
      </w:pPr>
    </w:p>
    <w:p w14:paraId="36BD64A1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 г.          ________________             ___________________</w:t>
      </w:r>
    </w:p>
    <w:p w14:paraId="1ACA43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(подпись)                                                  (Ф.И.О.)</w:t>
      </w:r>
    </w:p>
    <w:p w14:paraId="5C79B1B7">
      <w:pPr>
        <w:jc w:val="center"/>
        <w:rPr>
          <w:sz w:val="28"/>
          <w:szCs w:val="28"/>
        </w:rPr>
      </w:pPr>
    </w:p>
    <w:p w14:paraId="43A39B56">
      <w:pPr>
        <w:jc w:val="center"/>
        <w:rPr>
          <w:sz w:val="28"/>
          <w:szCs w:val="28"/>
        </w:rPr>
      </w:pPr>
    </w:p>
    <w:p w14:paraId="768B149F">
      <w:pPr>
        <w:jc w:val="center"/>
        <w:rPr>
          <w:sz w:val="28"/>
          <w:szCs w:val="28"/>
        </w:rPr>
      </w:pPr>
    </w:p>
    <w:p w14:paraId="50A3048F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1E"/>
    <w:rsid w:val="00036704"/>
    <w:rsid w:val="00117A46"/>
    <w:rsid w:val="0017276A"/>
    <w:rsid w:val="0026484A"/>
    <w:rsid w:val="0029401E"/>
    <w:rsid w:val="002E6612"/>
    <w:rsid w:val="005334E4"/>
    <w:rsid w:val="009C6131"/>
    <w:rsid w:val="009D7B32"/>
    <w:rsid w:val="00A42869"/>
    <w:rsid w:val="00AA7181"/>
    <w:rsid w:val="00AD49F3"/>
    <w:rsid w:val="00B31E82"/>
    <w:rsid w:val="00BF5FB3"/>
    <w:rsid w:val="00D025A7"/>
    <w:rsid w:val="00E54910"/>
    <w:rsid w:val="00FA4C33"/>
    <w:rsid w:val="00FB61DA"/>
    <w:rsid w:val="03530F85"/>
    <w:rsid w:val="50545C6B"/>
    <w:rsid w:val="5C8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link w:val="5"/>
    <w:qFormat/>
    <w:uiPriority w:val="0"/>
    <w:rPr>
      <w:rFonts w:eastAsia="Times New Roman" w:cs="Times New Roman"/>
      <w:color w:val="0563C1" w:themeColor="hyperlink"/>
      <w:szCs w:val="20"/>
      <w:u w:val="single"/>
      <w:lang w:eastAsia="ru-RU"/>
      <w14:textFill>
        <w14:solidFill>
          <w14:schemeClr w14:val="hlink"/>
        </w14:solidFill>
      </w14:textFill>
    </w:rPr>
  </w:style>
  <w:style w:type="paragraph" w:customStyle="1" w:styleId="5">
    <w:name w:val="Гиперссылка1"/>
    <w:basedOn w:val="1"/>
    <w:link w:val="4"/>
    <w:qFormat/>
    <w:uiPriority w:val="0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0"/>
    <w:rPr>
      <w:b/>
      <w:bCs/>
    </w:rPr>
  </w:style>
  <w:style w:type="table" w:styleId="7">
    <w:name w:val="Table Grid"/>
    <w:basedOn w:val="3"/>
    <w:qFormat/>
    <w:uiPriority w:val="0"/>
    <w:rPr>
      <w:rFonts w:eastAsia="Times New Roman" w:cs="Times New Roman"/>
      <w:color w:val="00000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Обычный (веб)2"/>
    <w:basedOn w:val="1"/>
    <w:qFormat/>
    <w:uiPriority w:val="0"/>
    <w:pPr>
      <w:spacing w:after="75"/>
      <w:ind w:firstLine="300"/>
    </w:pPr>
  </w:style>
  <w:style w:type="paragraph" w:styleId="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paragraph" w:customStyle="1" w:styleId="11">
    <w:name w:val="ConsPlusNormal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</w:pPr>
    <w:rPr>
      <w:rFonts w:ascii="Calibri" w:hAnsi="Calibri" w:eastAsia="Times New Roman" w:cs="Times New Roman"/>
      <w:b/>
      <w:color w:val="000000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719</Words>
  <Characters>5958</Characters>
  <Lines>55</Lines>
  <Paragraphs>15</Paragraphs>
  <TotalTime>51</TotalTime>
  <ScaleCrop>false</ScaleCrop>
  <LinksUpToDate>false</LinksUpToDate>
  <CharactersWithSpaces>7331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2026-05-26T02:43:00Z</dcterms:created>
  <dc:creator>root</dc:creator>
  <cp:lastModifiedBy>io</cp:lastModifiedBy>
  <dcterms:modified xsi:type="dcterms:W3CDTF">2026-06-05T08:46:11Z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eyJoZGlkIjoiNTUyOWE3ZDYxMjJmYmI5YWYzYTJhZDRkZjBmMzE1MjYifQ==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1705FC81630344BD8A0A0CEA1DDB14D8_12</vt:lpwstr>
  </property>
</Properties>
</file>